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 xml:space="preserve">Załącznik nr 3 do SIWZ </w:t>
      </w:r>
      <w:r>
        <w:rPr>
          <w:b w:val="false"/>
          <w:bCs w:val="false"/>
          <w:sz w:val="20"/>
          <w:szCs w:val="20"/>
        </w:rPr>
        <w:t>po zmianach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TZ.372.10.2.2020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–TECHNICZNY- Zadanie nr 2 </w:t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142" w:leader="none"/>
        </w:tabs>
        <w:ind w:hanging="1004"/>
        <w:jc w:val="center"/>
        <w:rPr/>
      </w:pPr>
      <w:r>
        <w:rPr>
          <w:b/>
          <w:color w:val="000000"/>
          <w:lang w:eastAsia="pl-PL"/>
        </w:rPr>
        <w:t xml:space="preserve">Aparat USG do wkłuć centralnych </w:t>
      </w:r>
      <w:r>
        <w:rPr>
          <w:b/>
          <w:bCs/>
          <w:sz w:val="22"/>
          <w:szCs w:val="22"/>
          <w:u w:val="single"/>
        </w:rPr>
        <w:t xml:space="preserve">– 1 szt. </w:t>
      </w:r>
    </w:p>
    <w:p>
      <w:pPr>
        <w:pStyle w:val="Normal"/>
        <w:tabs>
          <w:tab w:val="left" w:pos="142" w:leader="none"/>
        </w:tabs>
        <w:ind w:hanging="1004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numPr>
          <w:ilvl w:val="0"/>
          <w:numId w:val="2"/>
        </w:numPr>
        <w:tabs>
          <w:tab w:val="left" w:pos="142" w:leader="none"/>
        </w:tabs>
        <w:ind w:left="720" w:hanging="100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Wykonawca gwarantuje, że przedmiot zamówienia spełniać będzie wymagania wskazane w niniejszej tabeli.</w:t>
      </w:r>
    </w:p>
    <w:tbl>
      <w:tblPr>
        <w:tblW w:w="10399" w:type="dxa"/>
        <w:jc w:val="left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35"/>
        <w:gridCol w:w="7066"/>
        <w:gridCol w:w="1301"/>
        <w:gridCol w:w="1296"/>
      </w:tblGrid>
      <w:tr>
        <w:trPr>
          <w:trHeight w:val="338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Oferowana wartość</w:t>
            </w:r>
          </w:p>
        </w:tc>
      </w:tr>
      <w:tr>
        <w:trPr>
          <w:trHeight w:val="280" w:hRule="atLeast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Aparat USG do wkłuć centralnych USG – 1 szt.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Producent/ 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18"/>
                <w:szCs w:val="18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0" w:hRule="atLeast"/>
        </w:trPr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(230V; 50Hz)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 nakłuć żył, malformacji  , trudnych nakłuć naczyń, prowadzenie igły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Wbudowany akumulator pozwalający na ciągła pracę aparatu bez stałego źródła zasilania przez min. 40 minut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aparatu z akumulatorem oraz stacją DVD maks. 9,0 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Rączka/uchwyt do przenoszenia aparatu bez torby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do oferowanego aparatu z min. 3 aktywnymi portami do podłączenia głowic obrazowych (replikator portów), z regulacją góra/dół, wieszakami na głowice oraz wyposażony w cztery skrętne kółka i videoprinter czarno-biały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Dynamika aparatu min. 170 dB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Głębokość obrazowania w zakresie od 2 do 30 cm lub szerszy zakres minimalna wartość zakresu nie większa niż 2 cm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Maksymalna częstotliwość odświeżania (Frame Rate) dla obrazu 2D min. 750 obrazów/s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kanałów przetwarzania, min. 50 000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stosowanych częstotliwości pracy od 1 do 13 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708" w:hanging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kolorowy LCD o przekątnej ekranu min. 15 cali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Rozdzielczość monitora, min. 1400 x 1050 pixel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6 suwaków/regulatorów wzmocnienia głębokościowego wiązki TGC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Regulacja wzmocnienia poprzecznego wiązki ultradźwiekowej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Tak/Nie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Liczba aktywnych gniazd do podłączania głowic obrazowych w aparacie min. 1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Tryby pracy aparatu: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Tryb B (2D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Powiększenie obrazu zamrożonego oraz obrazu w czasie rzeczywistym min. 7x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parametrów obrazu 2D (min. wzmocnienie i TGC) do aktualnie badanego  obszaru przy pomocy jednego klawisza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Praca w trybie wielokierunkowego nadawania i odbierania wiązki ultradźwiękowej z min. 8 kątami ugięcia wiązki.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 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obracania obrazu lewo-prawo, góra-dół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M – mode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Kolorowy Doppler w M-mode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M-mode anatomiczny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Doppler Kolorowy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Jednoczesne wyświetlanie na ekranie dwóch obrazów w czasie rzeczywistym typu 2D + 2D i doppler kolorowy (mocy)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porównania na ekranie dwóch obrazów: jednego rzeczywistego drugiego odtworzonego z dysku trwałego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spektralny Doppler pulsacyjny (PW)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PW - minimalna prędkość 800 cm/s (przy zerowym kącie bramki),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bookmarkStart w:id="1" w:name="_Hlk502025"/>
            <w:bookmarkEnd w:id="1"/>
            <w:r>
              <w:rPr>
                <w:sz w:val="18"/>
                <w:szCs w:val="18"/>
              </w:rPr>
              <w:t>regulacja bramki PW min. 1 – 15 mm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Automatyczna optymalizacja obrazu PW przy pomocy jednego klawisza (min.: dopasowanie linii bazowej, PRF)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Uchylność bramki dopplerowskiej min. +/- 20 º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Kolor Doppler; prędkość &gt;= 400 cm/s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Bezformatowania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620" w:leader="none"/>
                <w:tab w:val="left" w:pos="11328" w:leader="none"/>
                <w:tab w:val="left" w:pos="12036" w:leader="none"/>
                <w:tab w:val="left" w:pos="12744" w:leader="none"/>
                <w:tab w:val="left" w:pos="13452" w:leader="none"/>
              </w:tabs>
              <w:spacing w:lineRule="auto" w:line="276" w:before="40" w:after="4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Tryb spektralny Doppler z falą ciągłą (CW)</w:t>
            </w:r>
          </w:p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(Rejestrowane prędkości maksymalne przy zerowym kącie bramki min. 18 m/s)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Sterowany pod kontrolą obrazu 2D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Tryb 3D w czasie rzeczywistym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o</w:t>
            </w:r>
            <w:r>
              <w:rPr>
                <w:sz w:val="18"/>
                <w:szCs w:val="18"/>
              </w:rPr>
              <w:t>brazowanie 3D serca w czasie rzeczywistym z głowicy przezprzełykowej, wykonanej w technologii matrycowej o min. 2000 elementach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tryb j</w:t>
            </w:r>
            <w:r>
              <w:rPr>
                <w:sz w:val="18"/>
                <w:szCs w:val="18"/>
              </w:rPr>
              <w:t>ednoczesnej wizualizacji w czasie rzeczywistym minimum dwóch niezależnych płaszczyzn na głowicy przezprzełykowej, w trybie B oraz Doppler kolorowy.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o k</w:t>
            </w:r>
            <w:r>
              <w:rPr>
                <w:sz w:val="18"/>
                <w:szCs w:val="18"/>
              </w:rPr>
              <w:t>olorowe odwzorowanie przepływów w postaci przestrzennej, ruchomej, trójwymiarowej bryły (3D kolor)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Możliwość rozbudowy  o funkcja</w:t>
            </w:r>
            <w:r>
              <w:rPr>
                <w:sz w:val="18"/>
                <w:szCs w:val="18"/>
              </w:rPr>
              <w:t xml:space="preserve"> wykonywania pomiarów na obrazie 3D, min. odległość punkt-punkt, długość obrysu, pole powierzchni.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ind w:left="28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Głowice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sektorowa z obrazowaniem harmonicznym do badań serca przezklatkowych.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Zakres częstotliwości pracy od 1 do 4 MHz lub szerszy zakres przy czy min. wartość zakresu nie większa niż 1,4 MHz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elementów min. 64.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Kąt pola skanowania min. 90°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Głowica liniowa do badań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Bezformatowania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  <w:tab w:val="left" w:pos="10266" w:leader="none"/>
              </w:tabs>
              <w:spacing w:lineRule="auto" w:line="276" w:before="40" w:after="40"/>
              <w:rPr>
                <w:rFonts w:ascii="Times New Roman" w:hAnsi="Times New Roman" w:eastAsia="Times New Roman" w:cs="Times New Roman"/>
                <w:sz w:val="18"/>
                <w:szCs w:val="18"/>
                <w:lang w:val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 xml:space="preserve">Częstotliwość pracy min. od 3 do 11 MHz </w:t>
            </w: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(± 1 MHz),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fr-FR"/>
              </w:rPr>
              <w:t>Ilo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 xml:space="preserve">ść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fr-FR"/>
              </w:rPr>
              <w:t>element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pl-PL"/>
              </w:rPr>
              <w:t>ów min. 150</w:t>
            </w:r>
          </w:p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płaszczyzny skanowania max 40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Pakiety obliczeniowe/raporty: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Pełny pakiet obliczeniowy kardiologiczny dla dorosłych.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rozbudowy o pakiet badań stress echo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Automatyczne obrysowanie i wyznaczanie parametrów (min. RI, PI, S, D) widma dopplerowskiego w czasie rzeczywistym na ruchomym spektrum oraz po zamrożeniu obrazu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Prezentacja na ekranie przebiegu EKG pacjenta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Raporty dla każdego rodzaju i trybu badania mogące zawierać własne komentarze Użytkownika oraz obrazy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Archiwizacja raportów na dysku CD/DVD-R/RW i dysku twardym aparatu w formatach min. BMP lub JPEG , AVI, DICOM - podać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Pamięć dynamiczna obrazu (CINE LOOP) dla trybu B z możliwością przeglądu w sposób płynny z regulacja prędkości odtwarzania min. 1000 obrazów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Wewnętrzny dysk twardy aparatu przeznaczony do archiwizacji badań min. 160 GB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archiwizacji sekwencji ruchomych i statycznych na dysku aparatu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Napęd dysków DVD do zapisu obrazów, pętli obrazowych i raportów z badania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Aktywne gniazdo USB do archiwizacji obrazów statycznych oraz ruchomych na przenośnej pamięci USB (Flash, Pendrive)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do przesyłania obrazów i danych zgodnych z standardem DICOM 3 (Dicom send, Dicom, Print, Modality Worklist, Dicom SR)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wraz z pakietem pomiarowym do badań kardiologicznych oraz naczyniowych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Tak, z dostawą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502" w:leader="none"/>
              </w:tabs>
              <w:snapToGrid w:val="false"/>
              <w:ind w:left="502"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17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  <w:br/>
        <w:t>w polskich zakładach opieki zdrowotnej.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tbl>
      <w:tblPr>
        <w:tblW w:w="10348" w:type="dxa"/>
        <w:jc w:val="left"/>
        <w:tblInd w:w="-5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0"/>
        <w:gridCol w:w="1709"/>
        <w:gridCol w:w="992"/>
        <w:gridCol w:w="567"/>
        <w:gridCol w:w="1276"/>
        <w:gridCol w:w="1"/>
        <w:gridCol w:w="991"/>
        <w:gridCol w:w="1"/>
        <w:gridCol w:w="996"/>
        <w:gridCol w:w="1"/>
        <w:gridCol w:w="1274"/>
        <w:gridCol w:w="1"/>
        <w:gridCol w:w="1133"/>
        <w:gridCol w:w="1"/>
        <w:gridCol w:w="704"/>
      </w:tblGrid>
      <w:tr>
        <w:trPr>
          <w:trHeight w:val="276" w:hRule="atLeast"/>
          <w:cantSplit w:val="true"/>
        </w:trPr>
        <w:tc>
          <w:tcPr>
            <w:tcW w:w="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agwek6"/>
              <w:tabs>
                <w:tab w:val="left" w:pos="0" w:leader="none"/>
              </w:tabs>
              <w:spacing w:before="0" w:after="0"/>
              <w:jc w:val="center"/>
              <w:rPr/>
            </w:pPr>
            <w:r>
              <w:rPr>
                <w:sz w:val="18"/>
                <w:szCs w:val="18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18"/>
                <w:szCs w:val="18"/>
              </w:rPr>
              <w:t>Cena jednostkowa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>
              <w:rPr>
                <w:i/>
                <w:sz w:val="18"/>
                <w:szCs w:val="18"/>
              </w:rPr>
              <w:t>netto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18"/>
                <w:szCs w:val="18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99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99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  <w:lang w:eastAsia="pl-PL"/>
              </w:rPr>
              <w:t>Aparat USG do wkłuć centralnych,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2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right="-469" w:hanging="0"/>
        <w:jc w:val="both"/>
        <w:rPr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 xml:space="preserve">., dnia ………………. r.                                          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ab/>
        <w:tab/>
        <w:tab/>
        <w:tab/>
        <w:tab/>
        <w:tab/>
        <w:t xml:space="preserve">    ……………………………………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>
      <w:pPr>
        <w:pStyle w:val="Normal"/>
        <w:spacing w:lineRule="auto" w:line="240"/>
        <w:ind w:left="4956" w:hanging="0"/>
        <w:rPr/>
      </w:pPr>
      <w:r>
        <w:rPr>
          <w:sz w:val="14"/>
          <w:szCs w:val="14"/>
        </w:rPr>
        <w:t xml:space="preserve">                                   </w:t>
      </w:r>
      <w:r>
        <w:rPr>
          <w:sz w:val="14"/>
          <w:szCs w:val="14"/>
        </w:rPr>
        <w:t>do  reprezentowania  wykonawcy</w:t>
      </w:r>
    </w:p>
    <w:sectPr>
      <w:footerReference w:type="default" r:id="rId2"/>
      <w:type w:val="nextPage"/>
      <w:pgSz w:w="11906" w:h="16838"/>
      <w:pgMar w:left="1418" w:right="1418" w:header="0" w:top="398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7B1CF79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9375" cy="17780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15pt;height:13.9pt;mso-position-horizontal-relative:page" wp14:anchorId="7B1CF79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1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8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qFormat/>
    <w:rsid w:val="00aa3870"/>
    <w:pPr>
      <w:keepNext/>
      <w:widowControl w:val="false"/>
      <w:numPr>
        <w:ilvl w:val="0"/>
        <w:numId w:val="1"/>
      </w:numPr>
      <w:tabs>
        <w:tab w:val="left" w:pos="0" w:leader="none"/>
      </w:tabs>
      <w:jc w:val="both"/>
      <w:outlineLvl w:val="0"/>
      <w:outlineLvl w:val="0"/>
    </w:pPr>
    <w:rPr>
      <w:rFonts w:eastAsia="Arial Unicode MS"/>
      <w:lang w:eastAsia="ar-SA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treci2" w:customStyle="1">
    <w:name w:val="Tekst treści (2)_"/>
    <w:basedOn w:val="DefaultParagraphFont"/>
    <w:link w:val="Teksttreci20"/>
    <w:qFormat/>
    <w:rsid w:val="00ca7dd3"/>
    <w:rPr>
      <w:rFonts w:ascii="Arial" w:hAnsi="Arial" w:eastAsia="Arial" w:cs="Arial"/>
      <w:sz w:val="20"/>
      <w:szCs w:val="20"/>
      <w:shd w:fill="FFFFFF" w:val="clear"/>
    </w:rPr>
  </w:style>
  <w:style w:type="character" w:styleId="PogrubienieTeksttreci295pt" w:customStyle="1">
    <w:name w:val="Pogrubienie;Tekst treści (2) + 9;5 pt"/>
    <w:basedOn w:val="Teksttreci2"/>
    <w:qFormat/>
    <w:rsid w:val="00ca7dd3"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shd w:fill="FFFFFF" w:val="clear"/>
      <w:lang w:val="pl-PL" w:eastAsia="pl-PL" w:bidi="pl-PL"/>
    </w:rPr>
  </w:style>
  <w:style w:type="character" w:styleId="Nagwek1Znak" w:customStyle="1">
    <w:name w:val="Nagłówek 1 Znak"/>
    <w:basedOn w:val="DefaultParagraphFont"/>
    <w:link w:val="Nagwek1"/>
    <w:qFormat/>
    <w:rsid w:val="00aa3870"/>
    <w:rPr>
      <w:rFonts w:ascii="Times New Roman" w:hAnsi="Times New Roman" w:eastAsia="Arial Unicode MS" w:cs="Times New Roman"/>
      <w:sz w:val="24"/>
      <w:szCs w:val="24"/>
      <w:lang w:eastAsia="ar-SA"/>
    </w:rPr>
  </w:style>
  <w:style w:type="character" w:styleId="ListLabel1" w:customStyle="1">
    <w:name w:val="ListLabel 1"/>
    <w:qFormat/>
    <w:rPr>
      <w:b/>
      <w:sz w:val="18"/>
    </w:rPr>
  </w:style>
  <w:style w:type="character" w:styleId="ListLabel2" w:customStyle="1">
    <w:name w:val="ListLabel 2"/>
    <w:qFormat/>
    <w:rPr>
      <w:rFonts w:cs="Times New Roman"/>
      <w:b/>
      <w:sz w:val="18"/>
    </w:rPr>
  </w:style>
  <w:style w:type="character" w:styleId="ListLabel3" w:customStyle="1">
    <w:name w:val="ListLabel 3"/>
    <w:qFormat/>
    <w:rPr>
      <w:rFonts w:eastAsia="Times New Roman" w:cs="Times New 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eastAsia="Times New Roman" w:cs="Times New Roman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>
    <w:name w:val="ListLabel 15"/>
    <w:qFormat/>
    <w:rPr>
      <w:b/>
      <w:sz w:val="18"/>
    </w:rPr>
  </w:style>
  <w:style w:type="character" w:styleId="ListLabel16">
    <w:name w:val="ListLabel 16"/>
    <w:qFormat/>
    <w:rPr>
      <w:b/>
      <w:sz w:val="18"/>
    </w:rPr>
  </w:style>
  <w:style w:type="character" w:styleId="ListLabel17">
    <w:name w:val="ListLabel 17"/>
    <w:qFormat/>
    <w:rPr>
      <w:rFonts w:cs="Times New Roman"/>
      <w:b/>
      <w:sz w:val="18"/>
    </w:rPr>
  </w:style>
  <w:style w:type="character" w:styleId="ListLabel18">
    <w:name w:val="ListLabel 18"/>
    <w:qFormat/>
    <w:rPr>
      <w:b/>
      <w:sz w:val="18"/>
    </w:rPr>
  </w:style>
  <w:style w:type="character" w:styleId="ListLabel19">
    <w:name w:val="ListLabel 19"/>
    <w:qFormat/>
    <w:rPr>
      <w:b/>
      <w:sz w:val="18"/>
    </w:rPr>
  </w:style>
  <w:style w:type="character" w:styleId="ListLabel20">
    <w:name w:val="ListLabel 20"/>
    <w:qFormat/>
    <w:rPr>
      <w:rFonts w:cs="Times New Roman"/>
      <w:b/>
      <w:sz w:val="18"/>
    </w:rPr>
  </w:style>
  <w:style w:type="character" w:styleId="ListLabel21">
    <w:name w:val="ListLabel 21"/>
    <w:qFormat/>
    <w:rPr>
      <w:b/>
      <w:sz w:val="18"/>
    </w:rPr>
  </w:style>
  <w:style w:type="character" w:styleId="ListLabel22">
    <w:name w:val="ListLabel 22"/>
    <w:qFormat/>
    <w:rPr>
      <w:b/>
      <w:sz w:val="18"/>
    </w:rPr>
  </w:style>
  <w:style w:type="character" w:styleId="ListLabel23">
    <w:name w:val="ListLabel 23"/>
    <w:qFormat/>
    <w:rPr>
      <w:rFonts w:cs="Times New Roman"/>
      <w:b/>
      <w:sz w:val="18"/>
    </w:rPr>
  </w:style>
  <w:style w:type="character" w:styleId="ListLabel24">
    <w:name w:val="ListLabel 24"/>
    <w:qFormat/>
    <w:rPr>
      <w:b/>
      <w:sz w:val="18"/>
    </w:rPr>
  </w:style>
  <w:style w:type="character" w:styleId="ListLabel25">
    <w:name w:val="ListLabel 25"/>
    <w:qFormat/>
    <w:rPr>
      <w:b/>
      <w:sz w:val="18"/>
    </w:rPr>
  </w:style>
  <w:style w:type="character" w:styleId="ListLabel26">
    <w:name w:val="ListLabel 26"/>
    <w:qFormat/>
    <w:rPr>
      <w:rFonts w:cs="Times New Roman"/>
      <w:b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ca7dd3"/>
    <w:pPr>
      <w:widowControl w:val="false"/>
      <w:shd w:val="clear" w:color="auto" w:fill="FFFFFF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06b8b"/>
    <w:pPr>
      <w:spacing w:before="0" w:after="0"/>
      <w:ind w:left="720" w:hanging="0"/>
      <w:contextualSpacing/>
    </w:pPr>
    <w:rPr/>
  </w:style>
  <w:style w:type="paragraph" w:styleId="Normalny1" w:customStyle="1">
    <w:name w:val="Normalny1"/>
    <w:qFormat/>
    <w:rsid w:val="0074162e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Standard" w:customStyle="1">
    <w:name w:val="Standard"/>
    <w:qFormat/>
    <w:rsid w:val="006a7c98"/>
    <w:pPr>
      <w:widowControl/>
      <w:suppressAutoHyphens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 w:color="000000"/>
      <w:lang w:val="pl-PL" w:eastAsia="pl-PL" w:bidi="ar-SA"/>
    </w:rPr>
  </w:style>
  <w:style w:type="paragraph" w:styleId="TreB" w:customStyle="1">
    <w:name w:val="Treść B"/>
    <w:autoRedefine/>
    <w:qFormat/>
    <w:rsid w:val="003450b8"/>
    <w:pPr>
      <w:widowControl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 w:color="000000"/>
      <w:lang w:val="pl-PL" w:eastAsia="pl-PL" w:bidi="ar-SA"/>
    </w:rPr>
  </w:style>
  <w:style w:type="paragraph" w:styleId="Western" w:customStyle="1">
    <w:name w:val="western"/>
    <w:basedOn w:val="Normal"/>
    <w:qFormat/>
    <w:rsid w:val="0038028b"/>
    <w:pPr>
      <w:suppressAutoHyphens w:val="false"/>
      <w:spacing w:before="100" w:after="100"/>
    </w:pPr>
    <w:rPr>
      <w:b/>
      <w:bCs/>
      <w:sz w:val="20"/>
      <w:szCs w:val="20"/>
      <w:lang w:eastAsia="ar-SA"/>
    </w:rPr>
  </w:style>
  <w:style w:type="paragraph" w:styleId="Styl" w:customStyle="1">
    <w:name w:val="Styl"/>
    <w:qFormat/>
    <w:rsid w:val="0038028b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Bezformatowania" w:customStyle="1">
    <w:name w:val="Bez formatowania"/>
    <w:qFormat/>
    <w:rsid w:val="006722a1"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LibreOffice/5.1.6.2$Windows_x86 LibreOffice_project/07ac168c60a517dba0f0d7bc7540f5afa45f0909</Application>
  <Pages>2</Pages>
  <Words>1081</Words>
  <Characters>6260</Characters>
  <CharactersWithSpaces>7319</CharactersWithSpaces>
  <Paragraphs>266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2019-04-17T07:16:00Z</dcterms:created>
  <dc:creator>Halina</dc:creator>
  <dc:description/>
  <dc:language>pl-PL</dc:language>
  <cp:lastModifiedBy/>
  <cp:lastPrinted>2019-06-12T09:28:00Z</cp:lastPrinted>
  <dcterms:modified xsi:type="dcterms:W3CDTF">2020-02-26T09:50:11Z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