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left"/>
        <w:rPr/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7 do SIWZ po zmianach</w:t>
      </w:r>
    </w:p>
    <w:p>
      <w:pPr>
        <w:pStyle w:val="Normal"/>
        <w:spacing w:lineRule="auto" w:line="36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ab/>
        <w:tab/>
        <w:tab/>
        <w:tab/>
        <w:tab/>
        <w:tab/>
        <w:tab/>
        <w:t>Załącznik nr 1 do umowy TZ.372.10.6.2020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FORMULARZ CENOWO –TECHNICZNY – Zadanie nr </w:t>
      </w:r>
      <w:bookmarkStart w:id="0" w:name="_GoBack"/>
      <w:bookmarkEnd w:id="0"/>
      <w:r>
        <w:rPr>
          <w:b/>
          <w:sz w:val="28"/>
          <w:szCs w:val="28"/>
        </w:rPr>
        <w:t xml:space="preserve">6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284" w:hanging="284"/>
        <w:jc w:val="both"/>
        <w:rPr/>
      </w:pPr>
      <w:r>
        <w:rPr>
          <w:sz w:val="20"/>
          <w:szCs w:val="20"/>
        </w:rPr>
        <w:t>Przedmiot zamówienia:</w:t>
      </w:r>
    </w:p>
    <w:p>
      <w:pPr>
        <w:pStyle w:val="Normal"/>
        <w:tabs>
          <w:tab w:val="left" w:pos="426" w:leader="none"/>
        </w:tabs>
        <w:ind w:left="284" w:hanging="284"/>
        <w:jc w:val="center"/>
        <w:rPr/>
      </w:pPr>
      <w:r>
        <w:rPr>
          <w:b/>
          <w:bCs/>
          <w:sz w:val="22"/>
          <w:szCs w:val="22"/>
          <w:u w:val="single"/>
        </w:rPr>
        <w:t xml:space="preserve">Pompa infuzyjna strzykawkowa - 6 szt.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284" w:hanging="284"/>
        <w:jc w:val="both"/>
        <w:rPr/>
      </w:pPr>
      <w:r>
        <w:rPr>
          <w:sz w:val="20"/>
          <w:szCs w:val="20"/>
        </w:rPr>
        <w:t>Wykonawca gwarantuje, że przedmiot zamówienia spełniać będzie wymagania wskazane w niniejszej tabeli.</w:t>
      </w:r>
    </w:p>
    <w:p>
      <w:pPr>
        <w:pStyle w:val="Normal"/>
        <w:ind w:left="284" w:hanging="0"/>
        <w:jc w:val="both"/>
        <w:rPr/>
      </w:pPr>
      <w:r>
        <w:rPr/>
      </w:r>
    </w:p>
    <w:tbl>
      <w:tblPr>
        <w:tblW w:w="10212" w:type="dxa"/>
        <w:jc w:val="left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7236"/>
        <w:gridCol w:w="1134"/>
        <w:gridCol w:w="1276"/>
      </w:tblGrid>
      <w:tr>
        <w:trPr>
          <w:trHeight w:val="44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PARAMETR/FUNKCJA/WARUNKI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 xml:space="preserve">Oferowana wartość* </w:t>
            </w:r>
          </w:p>
        </w:tc>
      </w:tr>
      <w:tr>
        <w:trPr>
          <w:trHeight w:val="301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6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POMPA INFUZYJNA STRZYKAWKOWA – 6 szt.</w:t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Urządzenie typ, model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Producent/ Firma /Kraj pochodzenia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Oznakowanie CE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8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Stosowanie strzykawek co najmniej  5, 10, 20, 30, 50 ml. Podać typ i producenta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Strzykawki montowane od czoła a nie od góry pompy.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Ramię pompy niewychodzące poza gabaryt obudowy.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Klawiatura numeryczna lub symboliczna umożliwiająca szybkie i bezpieczne programowanie pompy.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76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Wysokość pompy zapewniająca wygodną obsługę do 8 pomp, zamocowanych jedna nad drugą – max. 13,5 cm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dozowania w zakresie 0,1-1800 ml/h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9" w:hRule="atLeast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Programowanie parametrów infuzji w jednostkach:</w:t>
            </w:r>
          </w:p>
          <w:p>
            <w:pPr>
              <w:pStyle w:val="Normal"/>
              <w:numPr>
                <w:ilvl w:val="0"/>
                <w:numId w:val="3"/>
              </w:numPr>
              <w:snapToGrid w:val="false"/>
              <w:rPr/>
            </w:pPr>
            <w:r>
              <w:rPr>
                <w:sz w:val="20"/>
                <w:szCs w:val="20"/>
              </w:rPr>
              <w:t>ml,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ng, μg, mg,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μEq, mEq, Eq,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mIU, IU, kIU,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mIE, IE, kIE,</w:t>
            </w:r>
          </w:p>
          <w:p>
            <w:pPr>
              <w:pStyle w:val="Normal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cal, kcal, J, kJ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>
                <w:sz w:val="20"/>
                <w:szCs w:val="20"/>
              </w:rPr>
              <w:t>jednostki molowe z uwzględnieniem wagi pacjenta lub nie, z uwzględnieniem powierzchni pacjenta lub nie, na min, godz. dobę.</w:t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360" w:hanging="0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(*) lub zgodnie z dopuszczeniem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jc w:val="both"/>
              <w:rPr/>
            </w:pPr>
            <w:r>
              <w:rPr>
                <w:rFonts w:cs="Arial"/>
                <w:color w:val="000000"/>
                <w:sz w:val="20"/>
                <w:szCs w:val="20"/>
                <w:lang w:val="pl-PL"/>
              </w:rPr>
              <w:t>ng/h, ng/kg/min, ng/kg/h, μg/min, μg/h, μg/kg/min, μg/kg/h, mg/min, mg/h, mg/24h, mg/kg/min, mg/kg/h, mg/kg/24h, mg/m²/h, mg/m²/24h, g/h, g/kg/min, g/kg/h, g/kg/24h, mmol/h, mmol/kg/h, mmol/kg/24h, mUnit/min, mUnit/kg/min, mUnit/kg/h, Unit/min, Unit/h, Unit/kg/min, Unit/kg/h, kcal/h, kcal/24h, kcal/kg/h, mEq/min, mEq/h, mEq/kg/min, mEq/kg/h, mL/kg/min, mL/kg/h, mL/kg/24h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360" w:hanging="0"/>
              <w:jc w:val="left"/>
              <w:rPr>
                <w:rFonts w:ascii="Times New Roman" w:hAnsi="Times New Roman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cs="Arial"/>
                <w:color w:val="000000"/>
                <w:sz w:val="20"/>
                <w:szCs w:val="20"/>
                <w:lang w:val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left="360" w:hanging="0"/>
              <w:jc w:val="both"/>
              <w:rPr>
                <w:u w:val="single"/>
              </w:rPr>
            </w:pPr>
            <w:r>
              <w:rPr>
                <w:rFonts w:cs="Arial"/>
                <w:color w:val="000000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u w:val="single"/>
                <w:lang w:val="pl-PL"/>
              </w:rPr>
              <w:t xml:space="preserve">(*) lub zgodnie z dopuszczeniem </w:t>
            </w:r>
          </w:p>
          <w:p>
            <w:pPr>
              <w:pStyle w:val="Normal"/>
              <w:numPr>
                <w:ilvl w:val="0"/>
                <w:numId w:val="3"/>
              </w:numPr>
              <w:spacing w:before="0" w:after="0"/>
              <w:jc w:val="both"/>
              <w:rPr>
                <w:rFonts w:ascii="Times New Roman" w:hAnsi="Times New Roman"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  <w:lang w:val="pl-PL"/>
              </w:rPr>
              <w:t>ml, ng, μg, mg, mIU, IU, kIU, mIE, IE, kIE, Kcal oraz jednostkami molowymi z uwzględnieniem wagi pacjenta lub nie na min, godz oraz 24h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Wymagane tryby dozowania: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Infuzja ciągła,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/>
            </w:pPr>
            <w:r>
              <w:rPr>
                <w:sz w:val="20"/>
                <w:szCs w:val="20"/>
              </w:rPr>
              <w:t xml:space="preserve">Infuzja bolusowa (z przerwą) </w:t>
            </w:r>
            <w:r>
              <w:rPr>
                <w:sz w:val="20"/>
                <w:szCs w:val="20"/>
                <w:u w:val="single"/>
              </w:rPr>
              <w:t xml:space="preserve"> (*) lub zgodnie z dopuszczeniem  </w:t>
            </w:r>
            <w:r>
              <w:rPr>
                <w:sz w:val="20"/>
                <w:szCs w:val="20"/>
                <w:u w:val="none"/>
              </w:rPr>
              <w:t>infuzja sekwencyjna z możliwością wprowadzania przerw w podaży, w której można wprowadzić bolusa manualnego jak i automatycznego w dowolnej chwili wleu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Infuzja profilowa (min 12 faz infuzji),</w:t>
            </w:r>
          </w:p>
          <w:p>
            <w:pPr>
              <w:pStyle w:val="Normal"/>
              <w:numPr>
                <w:ilvl w:val="0"/>
                <w:numId w:val="4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Infuzja narastanie / ciągła / opadanie.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Dokładność infuzji 2%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Programowanie parametrów podaży Bolus-a: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 / dawka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rPr/>
            </w:pPr>
            <w:r>
              <w:rPr>
                <w:sz w:val="20"/>
                <w:szCs w:val="20"/>
              </w:rPr>
              <w:t>Automatyczne zmniejszenie szybkości podaży bolusa, w celu uniknięcia przerwania infuzji na skutek alarmu okluzji</w:t>
            </w:r>
          </w:p>
          <w:p>
            <w:pPr>
              <w:pStyle w:val="Normal"/>
              <w:snapToGrid w:val="false"/>
              <w:spacing w:lineRule="auto" w:line="240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(*) lub zgodnie z dopuszczeniem</w:t>
            </w:r>
          </w:p>
          <w:p>
            <w:pPr>
              <w:pStyle w:val="ListParagraph"/>
              <w:snapToGrid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/>
                <w:i w:val="false"/>
                <w:iCs w:val="false"/>
                <w:color w:val="000000"/>
                <w:sz w:val="20"/>
                <w:szCs w:val="20"/>
                <w:u w:val="none"/>
                <w:lang w:val="pl-PL" w:eastAsia="en-US"/>
              </w:rPr>
              <w:t>Automatyczne wstrzymanie podaży bolusa z możliwością kontynuacji podaży pozostałej objętości płynu po usunięciu alarmu okluzji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programowania podaży dawki indukcyjnej: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objętość / dawka</w:t>
            </w:r>
          </w:p>
          <w:p>
            <w:pPr>
              <w:pStyle w:val="Normal"/>
              <w:numPr>
                <w:ilvl w:val="0"/>
                <w:numId w:val="5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lub szybkość podaży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Biblioteka leków – możliwość zapisania w pompie procedur dozowania leków, każda procedura złożona co najmniej z: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leku,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5 koncentracji leku,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szybkości dozowania (dawkowanie),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całkowitej objętości (dawki) infuzji,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parametrów bolusa, oraz dawki indukcyjnej,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limitów dla wymienionych parametrów infuzji:</w:t>
            </w:r>
          </w:p>
          <w:p>
            <w:pPr>
              <w:pStyle w:val="Normal"/>
              <w:numPr>
                <w:ilvl w:val="1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miękkich, ostrzegających o przekroczeniu zalecanych wartości parametrów, </w:t>
            </w:r>
          </w:p>
          <w:p>
            <w:pPr>
              <w:pStyle w:val="Normal"/>
              <w:numPr>
                <w:ilvl w:val="1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twardych – blokujących możliwość wprowadzenia wartości z poza ich zakresu.</w:t>
            </w:r>
          </w:p>
          <w:p>
            <w:pPr>
              <w:pStyle w:val="Normal"/>
              <w:numPr>
                <w:ilvl w:val="0"/>
                <w:numId w:val="6"/>
              </w:numPr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doradczej możliwej do odczytania przed rozpoczęciem infuzji.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biblioteki na osobne grupy dedykowane poszczególnym oddziałom szpitalnym, minimum 10 oddziałów. Wybór oddziału dostępny w pompie.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Podział biblioteki dedykowanej oddziałom na kategorie działania leków, minimum 30.</w:t>
            </w:r>
          </w:p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biblioteki min 1000 procedur dozowania leków.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tabs>
                <w:tab w:val="left" w:pos="360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 polskojęzycznego oprogramowania komputerowego do tworzenia i przesyłania do pompy biblioteki leków.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Czytelny, kolorowy wyświetlacz z możliwością wyświetlenia następujących informacji: 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leku,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koncentracja leku,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oddziału wybranego w bibliotece,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prędkość infuzji,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podana dawka,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naładowania akumulatora,</w:t>
            </w:r>
          </w:p>
          <w:p>
            <w:pPr>
              <w:pStyle w:val="Normal"/>
              <w:numPr>
                <w:ilvl w:val="0"/>
                <w:numId w:val="7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aktualne ciśnienie w drenie, w formie graficznej,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Ekran dotykowy, przyspieszający wybór funkcji pompy.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Napisy na wyświetlaczu w języku polskim.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Regulowane progi ciśnienia okluzji, min 10 poziomów.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progu ciśnienia okluzji bez przerywania infuzji.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Automatyczna redukcja bolusa okluzyjnego.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1428" w:leader="none"/>
              </w:tabs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Priorytetowy system alarmów, zapewniający zróżnicowany sygnał dźwiękowy i świetlny, zależnie od stopnia zagrożenia.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instalacji pompy w stacji dokującej: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Zatrzaskowe mocowanie z automatyczną blokadą, bez konieczności przykręcania.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Alarm nieprawidłowego mocowania pomp w stacji,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Pompy mocowane niezależnie, jedna nad drugą, 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przyłączenie zasilania ze stacji dokującej,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przyłączenie portu komunikacyjnego ze stacji dokującej,</w:t>
            </w:r>
          </w:p>
          <w:p>
            <w:pPr>
              <w:pStyle w:val="Normal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Świetlna sygnalizacja stanu pomp; infuzja, alarm.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Mocowanie pojedynczej pompy do statywów lub pionowych kolumn niewymagające dołączenia jakichkolwiek części, w szczególności uchwytu mocującego, po bezpośrednim wyjęciu pompy z stacji dokującej.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Mocowanie pomp w stacji dokującej niewymagające odłączenia jakichkolwiek części, w szczególności uchwytu mocującego, po bezpośrednim zdjęciu pompy ze statywu.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Uchwyt do przenoszenia pompy na stałe związany z pompą, niewymagający odłączania przy mocowaniu pomp w stacjach dokujących.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komunikacji pomp umieszczonych w stacjach dokujących poprzez sieć LAN z oprogramowaniem zewnętrznym, służącym do: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Podglądu przebiegu infuzji dla każdej pompy w formie danych oraz graficznego wykresu (trendu),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Podglądu parametrów infuzji dla każdej pompy,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Prezentacji alarmów w pompach oraz wyświetlania ich przyczyny,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Prezentacja przewidywanego czasu do o spodziewanej obsługi pompy.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/>
            </w:pPr>
            <w:r>
              <w:rPr>
                <w:sz w:val="20"/>
                <w:szCs w:val="20"/>
              </w:rPr>
              <w:t xml:space="preserve">Graficznej prezentacji rozmieszczenia łóżek na oddziale oraz statusu infuzji </w:t>
            </w:r>
            <w:r>
              <w:rPr>
                <w:sz w:val="20"/>
                <w:szCs w:val="20"/>
                <w:u w:val="single"/>
              </w:rPr>
              <w:t>(*) zgodnie z dopuszczeniem</w:t>
            </w:r>
            <w:r>
              <w:rPr>
                <w:sz w:val="20"/>
                <w:szCs w:val="20"/>
              </w:rPr>
              <w:t xml:space="preserve"> tylko statusu infuzji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Archiwizacji informacji o przeprowadzonych infuzjach,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Połączenia z szpitalnymi bazami danych w standardzie HL7,</w:t>
            </w:r>
          </w:p>
          <w:p>
            <w:pPr>
              <w:pStyle w:val="Normal"/>
              <w:numPr>
                <w:ilvl w:val="0"/>
                <w:numId w:val="9"/>
              </w:numPr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Wpisywania do pomp w sposób automatyczny konfiguracji oraz biblioteki leków,</w:t>
            </w:r>
          </w:p>
          <w:p>
            <w:pPr>
              <w:pStyle w:val="Normal"/>
              <w:suppressAutoHyphens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Dostępność sieciowego, polskojęzycznego oprogramowania do monitorowania infuzji zgodnie z powyższymi wymaganiami.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u w:val="single"/>
              </w:rPr>
            </w:pPr>
            <w:r>
              <w:rPr>
                <w:sz w:val="20"/>
                <w:szCs w:val="20"/>
              </w:rPr>
              <w:t>Historia infuzji – możliwość zapamiętania 2000 zdarzeń oznaczonych datą i godziną zdarzenia.</w:t>
            </w:r>
          </w:p>
          <w:p>
            <w:pPr>
              <w:pStyle w:val="Normal"/>
              <w:snapToGrid w:val="false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(*) lub zgodnie z dopuszczeniem</w:t>
            </w:r>
          </w:p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 xml:space="preserve">możliwość zapamiętania do 1500 zdarzeń zapisywanych w dzienniku danych w czasie rzeczywistym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Klasa ochrony II, typ CF, odporność na defibrylację, ochrona obudowy IP22</w:t>
            </w:r>
          </w:p>
          <w:p>
            <w:pPr>
              <w:pStyle w:val="Normal"/>
              <w:snapToGrid w:val="false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>(*) lub zgodnie z dopuszczeniem</w:t>
            </w:r>
          </w:p>
          <w:p>
            <w:pPr>
              <w:pStyle w:val="Normal"/>
              <w:snapToGrid w:val="false"/>
              <w:ind w:left="0" w:right="0" w:hanging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Calibri"/>
                <w:b w:val="false"/>
                <w:bCs w:val="false"/>
                <w:sz w:val="20"/>
                <w:szCs w:val="20"/>
              </w:rPr>
              <w:t>K</w:t>
            </w:r>
            <w:r>
              <w:rPr>
                <w:rFonts w:cs="Arial"/>
                <w:iCs/>
                <w:sz w:val="20"/>
                <w:szCs w:val="20"/>
              </w:rPr>
              <w:t>lasą ochronności zgodnie z IEC/EN60601-1: Klasa I, typ CF oraz wyższą klasą ochrony obudowy IP 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pomp mocowanych poza stacją dokującą bezpośrednio z sieci energetycznej – niedopuszczalny jest zasilacz zewnętrzny.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Czas pracy z akumulatora min. 11 h przy infuzji 5ml/h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sz w:val="20"/>
                <w:szCs w:val="20"/>
              </w:rPr>
              <w:t>Czas ładowania akumulatora do 100% po pełnym rozładowaniu – poniżej 6 h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Waga max 2,5 kg.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Informacje dodatkowe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Dostawa i instalacja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Szkolenie personelu (min. 3 osoby) w zakresie eksploatacji i obsługi aparatu w miejscu instalacji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Okres gwarancji min. 24 miesiące max. 60 miesięcy.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obsługi w języku polskim 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Paszporty techniczne, karta gwarancyjna oraz wykaz podmiotów upoważnionych przez wytwórcę lub autoryzowanego przedstawiciela do wykonywania napraw i przeglądów</w:t>
            </w:r>
            <w:r>
              <w:rPr>
                <w:sz w:val="20"/>
                <w:szCs w:val="20"/>
              </w:rPr>
              <w:t xml:space="preserve"> wraz z dostawą aparatury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Częstotliwość przeglądów wymagana przez producenta zgodnie z instrukcją obsługi.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napToGrid w:val="false"/>
              <w:ind w:left="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7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Style w:val="Wyrnienie"/>
          <w:rFonts w:ascii="Times New Roman" w:hAnsi="Times New Roman" w:eastAsia="Times New Roman" w:cs="Tahoma"/>
          <w:b/>
          <w:b/>
          <w:bCs/>
          <w:i/>
          <w:i/>
          <w:iCs/>
          <w:color w:val="000000"/>
          <w:sz w:val="16"/>
          <w:szCs w:val="16"/>
          <w:lang w:val="pl-PL" w:eastAsia="pl-PL"/>
        </w:rPr>
      </w:pPr>
      <w:r>
        <w:rPr/>
      </w:r>
    </w:p>
    <w:p>
      <w:pPr>
        <w:pStyle w:val="Normal"/>
        <w:jc w:val="both"/>
        <w:rPr/>
      </w:pPr>
      <w:r>
        <w:rPr>
          <w:rStyle w:val="Wyrnienie"/>
          <w:rFonts w:eastAsia="Times New Roman" w:cs="Tahoma"/>
          <w:b/>
          <w:bCs/>
          <w:i/>
          <w:iCs/>
          <w:color w:val="000000"/>
          <w:sz w:val="16"/>
          <w:szCs w:val="16"/>
          <w:lang w:val="pl-PL" w:eastAsia="pl-PL"/>
        </w:rPr>
        <w:t xml:space="preserve">(*) Wykonawca zobowiązany jest do jednoznacznego wskazania </w:t>
      </w:r>
      <w:r>
        <w:rPr>
          <w:rStyle w:val="Wyrnienie"/>
          <w:rFonts w:eastAsia="Times New Roman" w:cs="Tahoma"/>
          <w:b/>
          <w:bCs/>
          <w:i/>
          <w:iCs/>
          <w:color w:val="000000"/>
          <w:sz w:val="16"/>
          <w:szCs w:val="16"/>
          <w:lang w:val="pl-PL" w:eastAsia="pl-PL"/>
        </w:rPr>
        <w:t xml:space="preserve">oferowanych </w:t>
      </w:r>
      <w:r>
        <w:rPr>
          <w:rStyle w:val="Wyrnienie"/>
          <w:rFonts w:eastAsia="Times New Roman" w:cs="Tahoma"/>
          <w:b/>
          <w:bCs/>
          <w:i/>
          <w:iCs/>
          <w:color w:val="000000"/>
          <w:sz w:val="16"/>
          <w:szCs w:val="16"/>
          <w:lang w:val="pl-PL" w:eastAsia="pl-PL"/>
        </w:rPr>
        <w:t>parametrów poprzez  przekreślenie parametrów, których nie oferuje</w:t>
      </w:r>
    </w:p>
    <w:p>
      <w:pPr>
        <w:pStyle w:val="Normal"/>
        <w:spacing w:before="0" w:after="170"/>
        <w:jc w:val="both"/>
        <w:rPr/>
      </w:pPr>
      <w:r>
        <w:rPr>
          <w:bCs/>
          <w:sz w:val="16"/>
          <w:szCs w:val="16"/>
        </w:rPr>
        <w:t>W</w:t>
      </w:r>
      <w:r>
        <w:rPr>
          <w:bCs/>
          <w:sz w:val="16"/>
          <w:szCs w:val="16"/>
        </w:rPr>
        <w:t xml:space="preserve"> rubryce „oferowana wartość” wykonawca powinien zamieścić właściwe: oświadczenie „TAK” lub podać wielkość, zakres parametru albo opisać daną właściwość, cechę, funkcję, parametr, itp.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oświadcza, że dostarczony zamawiającemu przedmiot zamówienia spełniać będzie właściwe, ustalone w obowiązujących przepisach prawa wymagania odnośnie dopuszczenia do użytkowania w polskich zakładach opieki zdrowotnej.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284" w:hanging="426"/>
        <w:jc w:val="both"/>
        <w:rPr/>
      </w:pPr>
      <w:r>
        <w:rPr>
          <w:sz w:val="20"/>
          <w:szCs w:val="20"/>
        </w:rPr>
        <w:t>Wykonawca zapewnia, że na potwierdzenie stanu faktycznego, o którym mowa w pkt B i C posiada stosowne dokumenty, które zostaną niezwłocznie przekazane zamawiającemu, na jego pisemny wniosek.</w:t>
      </w:r>
    </w:p>
    <w:p>
      <w:pPr>
        <w:pStyle w:val="Normal"/>
        <w:tabs>
          <w:tab w:val="left" w:pos="284" w:leader="none"/>
        </w:tabs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284" w:leader="none"/>
        </w:tabs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7" w:type="dxa"/>
        <w:jc w:val="left"/>
        <w:tblInd w:w="-3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64"/>
        <w:gridCol w:w="1706"/>
        <w:gridCol w:w="992"/>
        <w:gridCol w:w="565"/>
        <w:gridCol w:w="1276"/>
        <w:gridCol w:w="992"/>
        <w:gridCol w:w="993"/>
        <w:gridCol w:w="1275"/>
        <w:gridCol w:w="1134"/>
        <w:gridCol w:w="709"/>
      </w:tblGrid>
      <w:tr>
        <w:trPr>
          <w:trHeight w:val="276" w:hRule="atLeast"/>
          <w:cantSplit w:val="true"/>
        </w:trPr>
        <w:tc>
          <w:tcPr>
            <w:tcW w:w="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</w:tabs>
              <w:jc w:val="center"/>
              <w:outlineLvl w:val="5"/>
              <w:rPr>
                <w:b/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Przedmiot zamówienia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Jednostka miary</w:t>
            </w:r>
          </w:p>
        </w:tc>
        <w:tc>
          <w:tcPr>
            <w:tcW w:w="565" w:type="dxa"/>
            <w:vMerge w:val="restart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Wartość  </w:t>
            </w:r>
            <w:r>
              <w:rPr>
                <w:i/>
                <w:sz w:val="18"/>
                <w:szCs w:val="18"/>
                <w:lang w:eastAsia="ar-SA"/>
              </w:rPr>
              <w:t>netto</w:t>
            </w:r>
          </w:p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Stawka VAT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>Cena jednostkowa</w:t>
            </w:r>
          </w:p>
          <w:p>
            <w:pPr>
              <w:pStyle w:val="Normal"/>
              <w:snapToGrid w:val="false"/>
              <w:jc w:val="center"/>
              <w:rPr>
                <w:bCs/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  <w:p>
            <w:pPr>
              <w:pStyle w:val="Normal"/>
              <w:snapToGrid w:val="false"/>
              <w:jc w:val="center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bCs/>
                <w:i/>
                <w:sz w:val="18"/>
                <w:szCs w:val="18"/>
                <w:lang w:eastAsia="ar-SA"/>
              </w:rPr>
              <w:t>8=5+7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  <w:t xml:space="preserve">Wartość </w:t>
            </w:r>
            <w:r>
              <w:rPr>
                <w:bCs/>
                <w:i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jc w:val="center"/>
              <w:rPr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t>Uwagi</w:t>
            </w:r>
          </w:p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  <w:lang w:eastAsia="ar-SA"/>
              </w:rPr>
            </w:pPr>
            <w:r>
              <w:rPr>
                <w:b/>
                <w:bCs/>
                <w:sz w:val="18"/>
                <w:szCs w:val="18"/>
                <w:lang w:eastAsia="ar-SA"/>
              </w:rPr>
            </w:r>
          </w:p>
        </w:tc>
      </w:tr>
      <w:tr>
        <w:trPr>
          <w:trHeight w:val="207" w:hRule="atLeast"/>
          <w:cantSplit w:val="true"/>
        </w:trPr>
        <w:tc>
          <w:tcPr>
            <w:tcW w:w="5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color="auto" w:fill="auto" w:val="clear"/>
            <w:tcMar>
              <w:left w:w="20" w:type="dxa"/>
            </w:tcMar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0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rPr>
                <w:i/>
                <w:i/>
                <w:sz w:val="18"/>
                <w:szCs w:val="18"/>
                <w:lang w:eastAsia="ar-SA"/>
              </w:rPr>
            </w:pPr>
            <w:r>
              <w:rPr>
                <w:i/>
                <w:sz w:val="18"/>
                <w:szCs w:val="18"/>
                <w:lang w:eastAsia="ar-SA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lang w:eastAsia="ar-SA"/>
              </w:rPr>
            </w:pPr>
            <w:r>
              <w:rPr>
                <w:lang w:eastAsia="ar-SA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10</w:t>
            </w:r>
          </w:p>
        </w:tc>
      </w:tr>
      <w:tr>
        <w:trPr>
          <w:trHeight w:val="173" w:hRule="atLeast"/>
          <w:cantSplit w:val="true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Pompa infuzyjna strzykawkowa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  <w:tr>
        <w:trPr>
          <w:trHeight w:val="173" w:hRule="atLeast"/>
          <w:cantSplit w:val="true"/>
        </w:trPr>
        <w:tc>
          <w:tcPr>
            <w:tcW w:w="510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right"/>
              <w:rPr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b/>
                <w:sz w:val="20"/>
                <w:szCs w:val="20"/>
                <w:lang w:eastAsia="ar-SA"/>
              </w:rPr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45" w:type="dxa"/>
            </w:tcMar>
          </w:tcPr>
          <w:p>
            <w:pPr>
              <w:pStyle w:val="Normal"/>
              <w:snapToGrid w:val="false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cs="Tahoma" w:ascii="Tahoma" w:hAnsi="Tahoma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tabs>
          <w:tab w:val="left" w:pos="284" w:leader="none"/>
        </w:tabs>
        <w:ind w:left="284" w:hanging="0"/>
        <w:jc w:val="both"/>
        <w:rPr/>
      </w:pPr>
      <w:r>
        <w:rPr/>
      </w:r>
    </w:p>
    <w:p>
      <w:pPr>
        <w:pStyle w:val="Normal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0" w:hanging="0"/>
        <w:jc w:val="both"/>
        <w:rPr/>
      </w:pPr>
      <w:r>
        <w:rPr>
          <w:sz w:val="20"/>
          <w:szCs w:val="20"/>
        </w:rPr>
        <w:t xml:space="preserve">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 xml:space="preserve">Wykonawca oferuje realizację przedmiotu zamówienia za cenę …………………….złotych, </w:t>
      </w:r>
    </w:p>
    <w:p>
      <w:pPr>
        <w:pStyle w:val="Normal"/>
        <w:spacing w:lineRule="auto" w:line="360"/>
        <w:jc w:val="both"/>
        <w:rPr/>
      </w:pPr>
      <w:r>
        <w:rPr>
          <w:sz w:val="20"/>
          <w:szCs w:val="20"/>
        </w:rPr>
        <w:t>słownie złotych…………………………</w:t>
      </w:r>
    </w:p>
    <w:p>
      <w:pPr>
        <w:pStyle w:val="Normal"/>
        <w:ind w:right="-469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69" w:hanging="0"/>
        <w:jc w:val="both"/>
        <w:rPr/>
      </w:pPr>
      <w:r>
        <w:rPr>
          <w:sz w:val="20"/>
          <w:szCs w:val="20"/>
        </w:rPr>
        <w:t>…………………</w:t>
      </w:r>
      <w:r>
        <w:rPr>
          <w:sz w:val="20"/>
          <w:szCs w:val="20"/>
        </w:rPr>
        <w:t>.. dnia                                                          ……………………………………</w:t>
      </w:r>
    </w:p>
    <w:p>
      <w:pPr>
        <w:pStyle w:val="Normal"/>
        <w:rPr/>
      </w:pPr>
      <w:r>
        <w:rPr>
          <w:rFonts w:eastAsia="Arial" w:cs="Arial"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podpis  osoby  lub  osób  upoważnionych </w:t>
      </w:r>
    </w:p>
    <w:p>
      <w:pPr>
        <w:pStyle w:val="Normal"/>
        <w:ind w:left="4956" w:hanging="0"/>
        <w:rPr/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>do  reprezentowania  wykonawcy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539" w:footer="720" w:bottom="7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7E5302D5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9375" cy="177800"/>
              <wp:effectExtent l="1270" t="635" r="8255" b="5715"/>
              <wp:wrapSquare wrapText="largest"/>
              <wp:docPr id="1" name="Pole tekstow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40" cy="17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stroked="f" style="position:absolute;margin-left:518.35pt;margin-top:0.05pt;width:6.15pt;height:13.9pt;mso-position-horizontal-relative:page" wp14:anchorId="7E5302D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4eba"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link w:val="Nagwek1Znak"/>
    <w:uiPriority w:val="9"/>
    <w:qFormat/>
    <w:rsid w:val="00812de0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qFormat/>
    <w:rsid w:val="001f4eba"/>
    <w:rPr>
      <w:rFonts w:ascii="Times New Roman" w:hAnsi="Times New Roman" w:eastAsia="Times New Roman" w:cs="Times New Roman"/>
      <w:b/>
      <w:bCs/>
      <w:lang w:eastAsia="zh-CN"/>
    </w:rPr>
  </w:style>
  <w:style w:type="character" w:styleId="Pagenumber">
    <w:name w:val="page number"/>
    <w:basedOn w:val="DefaultParagraphFont"/>
    <w:qFormat/>
    <w:rsid w:val="001f4eba"/>
    <w:rPr/>
  </w:style>
  <w:style w:type="character" w:styleId="Wyrnienie" w:customStyle="1">
    <w:name w:val="Wyróżnienie"/>
    <w:qFormat/>
    <w:rsid w:val="001f4eba"/>
    <w:rPr>
      <w:b/>
      <w:bCs/>
      <w:i w:val="false"/>
      <w:iCs w:val="false"/>
    </w:rPr>
  </w:style>
  <w:style w:type="character" w:styleId="StopkaZnak" w:customStyle="1">
    <w:name w:val="Stopka Znak"/>
    <w:basedOn w:val="DefaultParagraphFont"/>
    <w:link w:val="Stopka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1f4eba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NagwekZnak" w:customStyle="1">
    <w:name w:val="Nagłówek Znak"/>
    <w:basedOn w:val="DefaultParagraphFont"/>
    <w:link w:val="Nagwek"/>
    <w:qFormat/>
    <w:rsid w:val="001f4eba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12de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zh-C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2fb4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qFormat/>
    <w:rPr>
      <w:b/>
      <w:sz w:val="20"/>
      <w:szCs w:val="20"/>
    </w:rPr>
  </w:style>
  <w:style w:type="character" w:styleId="ListLabel2" w:customStyle="1">
    <w:name w:val="ListLabel 2"/>
    <w:qFormat/>
    <w:rPr>
      <w:rFonts w:ascii="Arial" w:hAnsi="Arial" w:cs="Times New Roman"/>
      <w:b/>
      <w:sz w:val="20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  <w:sz w:val="20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>
    <w:name w:val="ListLabel 27"/>
    <w:qFormat/>
    <w:rPr>
      <w:b/>
      <w:sz w:val="20"/>
      <w:szCs w:val="20"/>
    </w:rPr>
  </w:style>
  <w:style w:type="character" w:styleId="ListLabel28">
    <w:name w:val="ListLabel 28"/>
    <w:qFormat/>
    <w:rPr>
      <w:rFonts w:ascii="Arial" w:hAnsi="Arial" w:cs="Times New Roman"/>
      <w:b/>
      <w:sz w:val="20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  <w:sz w:val="20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Courier New"/>
      <w:sz w:val="20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0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0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0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b/>
      <w:sz w:val="20"/>
      <w:szCs w:val="20"/>
    </w:rPr>
  </w:style>
  <w:style w:type="character" w:styleId="ListLabel93">
    <w:name w:val="ListLabel 93"/>
    <w:qFormat/>
    <w:rPr>
      <w:rFonts w:ascii="Arial" w:hAnsi="Arial" w:cs="Times New Roman"/>
      <w:b/>
      <w:sz w:val="20"/>
    </w:rPr>
  </w:style>
  <w:style w:type="character" w:styleId="ListLabel94">
    <w:name w:val="ListLabel 94"/>
    <w:qFormat/>
    <w:rPr>
      <w:rFonts w:cs="Symbol"/>
      <w:sz w:val="20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sz w:val="20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  <w:sz w:val="20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  <w:sz w:val="20"/>
    </w:rPr>
  </w:style>
  <w:style w:type="character" w:styleId="ListLabel122">
    <w:name w:val="ListLabel 122"/>
    <w:qFormat/>
    <w:rPr>
      <w:rFonts w:cs="Courier New"/>
      <w:sz w:val="20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  <w:sz w:val="20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  <w:sz w:val="20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  <w:sz w:val="20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b/>
      <w:sz w:val="20"/>
      <w:szCs w:val="20"/>
    </w:rPr>
  </w:style>
  <w:style w:type="character" w:styleId="ListLabel158">
    <w:name w:val="ListLabel 158"/>
    <w:qFormat/>
    <w:rPr>
      <w:rFonts w:ascii="Arial" w:hAnsi="Arial" w:cs="Times New Roman"/>
      <w:b/>
      <w:sz w:val="20"/>
    </w:rPr>
  </w:style>
  <w:style w:type="character" w:styleId="ListLabel159">
    <w:name w:val="ListLabel 159"/>
    <w:qFormat/>
    <w:rPr>
      <w:rFonts w:cs="Symbol"/>
      <w:sz w:val="20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  <w:sz w:val="20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  <w:sz w:val="20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Courier New"/>
    </w:rPr>
  </w:style>
  <w:style w:type="character" w:styleId="ListLabel185">
    <w:name w:val="ListLabel 185"/>
    <w:qFormat/>
    <w:rPr>
      <w:rFonts w:cs="Wingdings"/>
    </w:rPr>
  </w:style>
  <w:style w:type="character" w:styleId="ListLabel186">
    <w:name w:val="ListLabel 186"/>
    <w:qFormat/>
    <w:rPr>
      <w:rFonts w:cs="Symbol"/>
      <w:sz w:val="20"/>
    </w:rPr>
  </w:style>
  <w:style w:type="character" w:styleId="ListLabel187">
    <w:name w:val="ListLabel 187"/>
    <w:qFormat/>
    <w:rPr>
      <w:rFonts w:cs="Courier New"/>
      <w:sz w:val="20"/>
    </w:rPr>
  </w:style>
  <w:style w:type="character" w:styleId="ListLabel188">
    <w:name w:val="ListLabel 188"/>
    <w:qFormat/>
    <w:rPr>
      <w:rFonts w:cs="Wingdings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  <w:sz w:val="20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Courier New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Courier New"/>
    </w:rPr>
  </w:style>
  <w:style w:type="character" w:styleId="ListLabel203">
    <w:name w:val="ListLabel 203"/>
    <w:qFormat/>
    <w:rPr>
      <w:rFonts w:cs="Wingdings"/>
    </w:rPr>
  </w:style>
  <w:style w:type="character" w:styleId="ListLabel204">
    <w:name w:val="ListLabel 204"/>
    <w:qFormat/>
    <w:rPr>
      <w:rFonts w:cs="Symbol"/>
      <w:sz w:val="20"/>
    </w:rPr>
  </w:style>
  <w:style w:type="character" w:styleId="ListLabel205">
    <w:name w:val="ListLabel 205"/>
    <w:qFormat/>
    <w:rPr>
      <w:rFonts w:cs="Courier New"/>
    </w:rPr>
  </w:style>
  <w:style w:type="character" w:styleId="ListLabel206">
    <w:name w:val="ListLabel 206"/>
    <w:qFormat/>
    <w:rPr>
      <w:rFonts w:cs="Wingdings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Courier New"/>
    </w:rPr>
  </w:style>
  <w:style w:type="character" w:styleId="ListLabel209">
    <w:name w:val="ListLabel 209"/>
    <w:qFormat/>
    <w:rPr>
      <w:rFonts w:cs="Wingdings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  <w:sz w:val="20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b/>
      <w:sz w:val="20"/>
      <w:szCs w:val="20"/>
    </w:rPr>
  </w:style>
  <w:style w:type="character" w:styleId="ListLabel223">
    <w:name w:val="ListLabel 223"/>
    <w:qFormat/>
    <w:rPr>
      <w:rFonts w:ascii="Arial" w:hAnsi="Arial" w:cs="Times New Roman"/>
      <w:b/>
      <w:sz w:val="20"/>
    </w:rPr>
  </w:style>
  <w:style w:type="character" w:styleId="ListLabel224">
    <w:name w:val="ListLabel 224"/>
    <w:qFormat/>
    <w:rPr>
      <w:rFonts w:ascii="Times New Roman" w:hAnsi="Times New Roman" w:cs="Symbol"/>
      <w:sz w:val="20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  <w:sz w:val="20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  <w:sz w:val="20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cs="Symbol"/>
      <w:sz w:val="20"/>
    </w:rPr>
  </w:style>
  <w:style w:type="character" w:styleId="ListLabel252">
    <w:name w:val="ListLabel 252"/>
    <w:qFormat/>
    <w:rPr>
      <w:rFonts w:cs="Courier New"/>
      <w:sz w:val="20"/>
    </w:rPr>
  </w:style>
  <w:style w:type="character" w:styleId="ListLabel253">
    <w:name w:val="ListLabel 253"/>
    <w:qFormat/>
    <w:rPr>
      <w:rFonts w:cs="Wingdings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Courier New"/>
    </w:rPr>
  </w:style>
  <w:style w:type="character" w:styleId="ListLabel256">
    <w:name w:val="ListLabel 256"/>
    <w:qFormat/>
    <w:rPr>
      <w:rFonts w:cs="Wingdings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Courier New"/>
    </w:rPr>
  </w:style>
  <w:style w:type="character" w:styleId="ListLabel259">
    <w:name w:val="ListLabel 259"/>
    <w:qFormat/>
    <w:rPr>
      <w:rFonts w:cs="Wingdings"/>
    </w:rPr>
  </w:style>
  <w:style w:type="character" w:styleId="ListLabel260">
    <w:name w:val="ListLabel 260"/>
    <w:qFormat/>
    <w:rPr>
      <w:rFonts w:cs="Symbol"/>
      <w:sz w:val="20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cs="Wingdings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Courier New"/>
    </w:rPr>
  </w:style>
  <w:style w:type="character" w:styleId="ListLabel265">
    <w:name w:val="ListLabel 265"/>
    <w:qFormat/>
    <w:rPr>
      <w:rFonts w:cs="Wingdings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Courier New"/>
    </w:rPr>
  </w:style>
  <w:style w:type="character" w:styleId="ListLabel268">
    <w:name w:val="ListLabel 268"/>
    <w:qFormat/>
    <w:rPr>
      <w:rFonts w:cs="Wingdings"/>
    </w:rPr>
  </w:style>
  <w:style w:type="character" w:styleId="ListLabel269">
    <w:name w:val="ListLabel 269"/>
    <w:qFormat/>
    <w:rPr>
      <w:rFonts w:cs="Symbol"/>
      <w:sz w:val="20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  <w:sz w:val="20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PogrubienieTeksttreci295pt">
    <w:name w:val="Pogrubienie;Tekst treści (2) + 9;5 pt"/>
    <w:basedOn w:val="Teksttreci2"/>
    <w:qFormat/>
    <w:rPr>
      <w:rFonts w:ascii="Arial" w:hAnsi="Arial" w:eastAsia="Arial" w:cs="Arial"/>
      <w:i w:val="false"/>
      <w:iCs w:val="false"/>
      <w:caps w:val="false"/>
      <w:smallCaps w:val="false"/>
      <w:color w:val="000000"/>
      <w:spacing w:val="0"/>
      <w:w w:val="100"/>
      <w:sz w:val="19"/>
      <w:szCs w:val="19"/>
      <w:highlight w:val="white"/>
      <w:lang w:val="pl-PL" w:eastAsia="pl-PL" w:bidi="pl-PL"/>
    </w:rPr>
  </w:style>
  <w:style w:type="character" w:styleId="Teksttreci2">
    <w:name w:val="Tekst treści (2)_"/>
    <w:basedOn w:val="DefaultParagraphFont"/>
    <w:qFormat/>
    <w:rPr>
      <w:rFonts w:ascii="Arial" w:hAnsi="Arial" w:eastAsia="Arial" w:cs="Arial"/>
      <w:sz w:val="20"/>
      <w:szCs w:val="20"/>
      <w:highlight w:val="whit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1f4eba"/>
    <w:pPr>
      <w:suppressLineNumbers/>
      <w:tabs>
        <w:tab w:val="center" w:pos="4535" w:leader="none"/>
        <w:tab w:val="right" w:pos="9070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"/>
    <w:link w:val="StopkaZnak"/>
    <w:rsid w:val="001f4eb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qFormat/>
    <w:rsid w:val="001f4eba"/>
    <w:pPr>
      <w:suppressAutoHyphens w:val="false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2fb4"/>
    <w:pPr/>
    <w:rPr>
      <w:rFonts w:ascii="Tahoma" w:hAnsi="Tahoma" w:cs="Tahoma"/>
      <w:sz w:val="16"/>
      <w:szCs w:val="16"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reB">
    <w:name w:val="Treść B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Helvetica" w:cs="Times New Roman"/>
      <w:b/>
      <w:color w:val="000000"/>
      <w:spacing w:val="-1"/>
      <w:sz w:val="24"/>
      <w:szCs w:val="20"/>
      <w:u w:val="none"/>
      <w:lang w:val="pl-PL" w:eastAsia="pl-PL" w:bidi="ar-SA"/>
    </w:rPr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Bookman Old Style" w:hAnsi="Bookman Old Style" w:eastAsia="Arial Unicode MS" w:cs="Arial Unicode MS"/>
      <w:color w:val="000000"/>
      <w:sz w:val="24"/>
      <w:szCs w:val="24"/>
      <w:u w:val="none"/>
      <w:lang w:val="pl-PL" w:eastAsia="pl-PL" w:bidi="ar-SA"/>
    </w:rPr>
  </w:style>
  <w:style w:type="paragraph" w:styleId="Normalny1">
    <w:name w:val="Normalny1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u w:val="none"/>
      <w:lang w:val="pl-PL" w:eastAsia="pl-PL" w:bidi="ar-SA"/>
    </w:rPr>
  </w:style>
  <w:style w:type="paragraph" w:styleId="Teksttreci21">
    <w:name w:val="Tekst treści (2)"/>
    <w:basedOn w:val="Normal"/>
    <w:qFormat/>
    <w:pPr>
      <w:widowControl w:val="false"/>
      <w:shd w:fill="FFFFFF" w:val="clear"/>
      <w:suppressAutoHyphens w:val="false"/>
      <w:spacing w:lineRule="exact" w:line="230" w:before="240" w:after="0"/>
    </w:pPr>
    <w:rPr>
      <w:rFonts w:ascii="Arial" w:hAnsi="Arial" w:eastAsia="Arial" w:cs="Arial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LibreOffice/5.1.6.2$Windows_x86 LibreOffice_project/07ac168c60a517dba0f0d7bc7540f5afa45f0909</Application>
  <Pages>3</Pages>
  <Words>1198</Words>
  <Characters>7448</Characters>
  <CharactersWithSpaces>8600</CharactersWithSpaces>
  <Paragraphs>245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2018-10-12T12:08:00Z</dcterms:created>
  <dc:creator>Halina</dc:creator>
  <dc:description/>
  <dc:language>pl-PL</dc:language>
  <cp:lastModifiedBy/>
  <cp:lastPrinted>2019-06-12T09:36:00Z</cp:lastPrinted>
  <dcterms:modified xsi:type="dcterms:W3CDTF">2020-02-26T09:58:28Z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