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7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TZ.372.10.6.2020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 – Zadanie nr </w:t>
      </w:r>
      <w:bookmarkStart w:id="0" w:name="_GoBack"/>
      <w:bookmarkEnd w:id="0"/>
      <w:r>
        <w:rPr>
          <w:b/>
          <w:sz w:val="28"/>
          <w:szCs w:val="28"/>
        </w:rPr>
        <w:t xml:space="preserve">6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284" w:hanging="284"/>
        <w:jc w:val="both"/>
        <w:rPr/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426" w:leader="none"/>
        </w:tabs>
        <w:ind w:left="284" w:hanging="284"/>
        <w:jc w:val="center"/>
        <w:rPr/>
      </w:pPr>
      <w:r>
        <w:rPr>
          <w:b/>
          <w:bCs/>
          <w:sz w:val="22"/>
          <w:szCs w:val="22"/>
          <w:u w:val="single"/>
        </w:rPr>
        <w:t xml:space="preserve">Pompa infuzyjna strzykawkowa - 6 szt.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284" w:hanging="284"/>
        <w:jc w:val="both"/>
        <w:rPr/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284" w:hanging="0"/>
        <w:jc w:val="both"/>
        <w:rPr/>
      </w:pPr>
      <w:r>
        <w:rPr/>
      </w:r>
    </w:p>
    <w:tbl>
      <w:tblPr>
        <w:tblW w:w="10212" w:type="dxa"/>
        <w:jc w:val="left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7236"/>
        <w:gridCol w:w="1134"/>
        <w:gridCol w:w="1276"/>
      </w:tblGrid>
      <w:tr>
        <w:trPr>
          <w:trHeight w:val="44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PARAMETR/FUNKCJA/WARUNKI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Oferowana wartość* </w:t>
            </w:r>
          </w:p>
        </w:tc>
      </w:tr>
      <w:tr>
        <w:trPr>
          <w:trHeight w:val="301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POMPA INFUZYJNA STRZYKAWKOWA – 6 szt.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Producent/ Firma /Kraj pochodzenia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strzykawek 2, 5, 10, 20, 30, 50 ml. Podać typ i producenta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montowane od czoła a nie od góry pompy.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Ramię pompy niewychodzące poza gabaryt obudowy.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Klawiatura numeryczna umożliwiająca szybkie i bezpieczne programowanie pompy.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pompy zapewniająca wygodną obsługę do 8 pomp, zamocowanych jedna nad drugą – max. 12 cm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infuzji w jednostkach: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ng, μg, mg,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μEq, mEq, Eq,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mIU, IU, kIU,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mIE, IE, kIE,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cal, kcal, J, kJ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jednostki molowe z uwzględnieniem wagi pacjenta lub nie, z uwzględnieniem powierzchni pacjenta lub nie, na min, godz. dobę.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tryby dozowania: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ciągła,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bolusowa (z przerwą),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profilowa (min 12 faz infuzji),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narastanie / ciągła / opadanie.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infuzji 2%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/ dawka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/ dawka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leków – możliwość zapisania w pompie procedur dozowania leków, każda procedura złożona co najmniej z: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leku,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 koncentracji leku,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szybkości dozowania (dawkowanie),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całkowitej objętości (dawki) infuzji,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parametrów bolusa, oraz dawki indukcyjnej,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limitów dla wymienionych parametrów infuzji:</w:t>
            </w:r>
          </w:p>
          <w:p>
            <w:pPr>
              <w:pStyle w:val="Normal"/>
              <w:numPr>
                <w:ilvl w:val="1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miękkich, ostrzegających o przekroczeniu zalecanych wartości parametrów, </w:t>
            </w:r>
          </w:p>
          <w:p>
            <w:pPr>
              <w:pStyle w:val="Normal"/>
              <w:numPr>
                <w:ilvl w:val="1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twardych – blokujących możliwość wprowadzenia wartości z poza ich zakresu.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doradczej możliwej do odczytania przed rozpoczęciem infuzji.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biblioteki na osobne grupy dedykowane poszczególnym oddziałom szpitalnym, minimum 10 oddziałów. Wybór oddziału dostępny w pompie.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biblioteki dedykowanej oddziałom na kategorie działania leków, minimum 30.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biblioteki min 1000 procedur dozowania leków.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Czytelny, kolorowy wyświetlacz z możliwością wyświetlenia następujących informacji jednocześnie: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leku,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koncentracja leku,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oddziału wybranego w bibliotece,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infuzji,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podana dawka,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naładowania akumulatora,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aktualne ciśnienie w drenie, w formie graficznej,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dotykowy, przyspieszający wybór funkcji pompy.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progi ciśnienia okluzji, min 10 poziomów.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redukcja bolusa okluzyjnego.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tabs>
                <w:tab w:val="left" w:pos="1428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instalacji pompy w stacji dokującej: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Zatrzaskowe mocowanie z automatyczną blokadą, bez konieczności przykręcania.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nieprawidłowego mocowania pomp w stacji,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Pompy mocowane niezależnie, jedna nad drugą, 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przyłączenie zasilania ze stacji dokującej,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przyłączenie portu komunikacyjnego ze stacji dokującej,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Świetlna sygnalizacja stanu pomp; infuzja, alarm.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komunikacji pomp umieszczonych w stacjach dokujących poprzez sieć LAN z oprogramowaniem zewnętrznym, służącym do: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Podglądu przebiegu infuzji dla każdej pompy w formie danych oraz graficznego wykresu (trendu),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Podglądu parametrów infuzji dla każdej pompy,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Prezentacji alarmów w pompach oraz wyświetlania ich przyczyny,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przewidywanego czasu do o spodziewanej obsługi pompy.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Graficznej prezentacji rozmieszczenia łóżek na oddziale oraz statusu infuzji,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Archiwizacji informacji o przeprowadzonych infuzjach,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Połączenia z szpitalnymi bazami danych w standardzie HL7,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Wpisywania do pomp w sposób automatyczny konfiguracji oraz biblioteki leków,</w:t>
            </w:r>
          </w:p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sieciowego, polskojęzycznego oprogramowania do monitorowania infuzji zgodnie z powyższymi wymaganiami.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infuzji – możliwość zapamiętania 2000 zdarzeń oznaczonych datą i godziną zdarzenia.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ochrony II, typ CF, odporność na defibrylację, ochrona obudowy IP22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pracy z akumulatora min. 24 h przy infuzji 5ml/h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akumulatora do 100% po pełnym rozładowaniu – poniżej 5 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max 2,5 kg.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dodatkowe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instalacja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Szkolenie personelu (min. 3 osoby) w zakresie eksploatacji i obsługi aparatu w miejscu instalacji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min. 24 miesiące max. 60 miesięcy.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Paszporty techniczne, karta gwarancyjna oraz wykaz podmiotów upoważnionych przez wytwórcę lub autoryzowanego przedstawiciela do wykonywania napraw i przeglądów</w:t>
            </w:r>
            <w:r>
              <w:rPr>
                <w:sz w:val="20"/>
                <w:szCs w:val="20"/>
              </w:rPr>
              <w:t xml:space="preserve">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Częstotliwość przeglądów wymagana przez producenta zgodnie z instrukcją obsługi.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zapewnia, że na potwierdzenie stanu faktycznego, o którym mowa w pkt B i C posiada stosowne dokumenty, które zostaną niezwłocznie przekazane zamawiającemu, na jego pisemny wniosek.</w:t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3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4"/>
        <w:gridCol w:w="1706"/>
        <w:gridCol w:w="992"/>
        <w:gridCol w:w="565"/>
        <w:gridCol w:w="1276"/>
        <w:gridCol w:w="992"/>
        <w:gridCol w:w="993"/>
        <w:gridCol w:w="1275"/>
        <w:gridCol w:w="1134"/>
        <w:gridCol w:w="709"/>
      </w:tblGrid>
      <w:tr>
        <w:trPr>
          <w:trHeight w:val="276" w:hRule="atLeast"/>
          <w:cantSplit w:val="true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Pompa infuzyjna strzykawkowa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284" w:leader="none"/>
        </w:tabs>
        <w:ind w:left="284" w:hanging="0"/>
        <w:jc w:val="both"/>
        <w:rPr/>
      </w:pPr>
      <w:r>
        <w:rPr/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/>
      </w:pPr>
      <w:r>
        <w:rPr>
          <w:sz w:val="20"/>
          <w:szCs w:val="20"/>
        </w:rPr>
        <w:t xml:space="preserve">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Wykonawca oferuje realizację przedmiotu zamówienia za cenę …………………….złotych,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słownie złotych…………………………</w:t>
      </w:r>
    </w:p>
    <w:p>
      <w:pPr>
        <w:pStyle w:val="Normal"/>
        <w:ind w:right="-46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69" w:hanging="0"/>
        <w:jc w:val="both"/>
        <w:rPr/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.. dnia                                                          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podpis  osoby  lub  osób  upoważnionych </w:t>
      </w:r>
    </w:p>
    <w:p>
      <w:pPr>
        <w:pStyle w:val="Normal"/>
        <w:ind w:left="4956" w:hanging="0"/>
        <w:rPr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do  reprezentowania  wykonawcy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539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E5302D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8105" cy="17653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05pt;height:13.8pt;mso-position-horizontal-relative:page" wp14:anchorId="7E5302D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812de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12d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2fb4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20"/>
      <w:szCs w:val="20"/>
    </w:rPr>
  </w:style>
  <w:style w:type="character" w:styleId="ListLabel2" w:customStyle="1">
    <w:name w:val="ListLabel 2"/>
    <w:qFormat/>
    <w:rPr>
      <w:rFonts w:ascii="Arial" w:hAnsi="Arial" w:cs="Times New Roman"/>
      <w:b/>
      <w:sz w:val="20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  <w:sz w:val="20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>
    <w:name w:val="ListLabel 27"/>
    <w:qFormat/>
    <w:rPr>
      <w:b/>
      <w:sz w:val="20"/>
      <w:szCs w:val="20"/>
    </w:rPr>
  </w:style>
  <w:style w:type="character" w:styleId="ListLabel28">
    <w:name w:val="ListLabel 28"/>
    <w:qFormat/>
    <w:rPr>
      <w:rFonts w:ascii="Arial" w:hAnsi="Arial" w:cs="Times New Roman"/>
      <w:b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b/>
      <w:sz w:val="20"/>
      <w:szCs w:val="20"/>
    </w:rPr>
  </w:style>
  <w:style w:type="character" w:styleId="ListLabel93">
    <w:name w:val="ListLabel 93"/>
    <w:qFormat/>
    <w:rPr>
      <w:rFonts w:ascii="Arial" w:hAnsi="Arial" w:cs="Times New Roman"/>
      <w:b/>
      <w:sz w:val="20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0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Courier New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sz w:val="20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sz w:val="2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2fb4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LibreOffice/5.1.6.2$Windows_x86 LibreOffice_project/07ac168c60a517dba0f0d7bc7540f5afa45f0909</Application>
  <Pages>3</Pages>
  <Words>1008</Words>
  <Characters>6249</Characters>
  <CharactersWithSpaces>7219</CharactersWithSpaces>
  <Paragraphs>234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2018-10-12T12:08:00Z</dcterms:created>
  <dc:creator>Halina</dc:creator>
  <dc:description/>
  <dc:language>pl-PL</dc:language>
  <cp:lastModifiedBy/>
  <cp:lastPrinted>2019-06-12T09:36:00Z</cp:lastPrinted>
  <dcterms:modified xsi:type="dcterms:W3CDTF">2020-02-06T10:56:31Z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