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/>
      </w:pPr>
      <w:r>
        <w:rPr>
          <w:rFonts w:cs="Calibri-Bold" w:ascii="Calibri-Bold" w:hAnsi="Calibri-Bold"/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rFonts w:cs="Calibri-Bold" w:ascii="Times New Roman" w:hAnsi="Times New Roman"/>
          <w:b/>
          <w:bCs/>
          <w:sz w:val="20"/>
          <w:szCs w:val="20"/>
        </w:rPr>
        <w:t xml:space="preserve"> </w:t>
      </w:r>
      <w:r>
        <w:rPr>
          <w:rFonts w:eastAsia="Calibri" w:cs="Calibri-Bold" w:ascii="Times New Roman" w:hAnsi="Times New Roman" w:eastAsiaTheme="minorHAnsi"/>
          <w:b/>
          <w:bCs/>
          <w:color w:val="auto"/>
          <w:kern w:val="0"/>
          <w:sz w:val="20"/>
          <w:szCs w:val="20"/>
          <w:lang w:val="pl-PL" w:eastAsia="en-US" w:bidi="ar-SA"/>
        </w:rPr>
        <w:t>Załącznik  nr 2 do SIWZ</w:t>
      </w:r>
    </w:p>
    <w:p>
      <w:pPr>
        <w:pStyle w:val="Normal"/>
        <w:spacing w:lineRule="auto" w:line="240"/>
        <w:jc w:val="right"/>
        <w:rPr>
          <w:rFonts w:ascii="Times New Roman" w:hAnsi="Times New Roman"/>
        </w:rPr>
      </w:pPr>
      <w:r>
        <w:rPr>
          <w:rFonts w:eastAsia="Calibri" w:cs="Calibri-Bold" w:ascii="Times New Roman" w:hAnsi="Times New Roman" w:eastAsiaTheme="minorHAnsi"/>
          <w:b/>
          <w:bCs/>
          <w:color w:val="auto"/>
          <w:kern w:val="0"/>
          <w:sz w:val="20"/>
          <w:szCs w:val="20"/>
          <w:lang w:val="pl-PL" w:eastAsia="en-US" w:bidi="ar-SA"/>
        </w:rPr>
        <w:t xml:space="preserve">Załącznik nr  1 do umowy </w:t>
      </w:r>
    </w:p>
    <w:p>
      <w:pPr>
        <w:pStyle w:val="Normal"/>
        <w:spacing w:lineRule="auto" w:line="240"/>
        <w:jc w:val="right"/>
        <w:rPr/>
      </w:pPr>
      <w:r>
        <w:rPr>
          <w:rFonts w:eastAsia="Calibri" w:cs="Calibri-Bold" w:ascii="Times New Roman" w:hAnsi="Times New Roman" w:eastAsiaTheme="minorHAnsi"/>
          <w:b/>
          <w:bCs/>
          <w:color w:val="auto"/>
          <w:kern w:val="0"/>
          <w:sz w:val="20"/>
          <w:szCs w:val="20"/>
          <w:lang w:val="pl-PL" w:eastAsia="en-US" w:bidi="ar-SA"/>
        </w:rPr>
        <w:t>nr ……………………. z dnia ………………………</w:t>
      </w:r>
      <w:r>
        <w:rPr>
          <w:rFonts w:cs="Calibri-Bold" w:ascii="Calibri-Bold" w:hAnsi="Calibri-Bold"/>
          <w:b/>
          <w:bCs/>
          <w:sz w:val="20"/>
          <w:szCs w:val="20"/>
        </w:rPr>
        <w:t xml:space="preserve">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Formularz cenowo techniczny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Zakres obsługi </w:t>
      </w:r>
      <w:r>
        <w:rPr>
          <w:rFonts w:cs="Times New Roman" w:ascii="Times New Roman" w:hAnsi="Times New Roman"/>
          <w:b/>
          <w:i/>
          <w:sz w:val="24"/>
          <w:szCs w:val="24"/>
        </w:rPr>
        <w:t>akceleratora wysokoenergetycznego ONCOR nr 5840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1. Przeglądy okresowe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 xml:space="preserve">Regularne przeglądy okresowe - interwały i zakres przeglądów według zaleceń producenta (w szczególności czynności wymagające użycia kodów serwisowych) zawartych w dokumentacji sprzętu; terminy przeglądów - uzgodnione </w:t>
        <w:br/>
        <w:t>z ZAMAWIAJĄCYM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Sprawdzenie bezpieczeństwa mechanicznego.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Kontrola występowania usterek zewnętrznych.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Inspekcja zużycia części.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Oczyszczenie dróg chłodzenia i odprowadzania ciepła.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Smarowanie ruchomych części mechanicznych.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Sprawdzenie bezpieczeństwa elektrycznego.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Konserwacja so􀅌ware’u systemowego i aplikacyjnego przy użyciu dedykowanego oprogramowania serwisowego.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Porządkowanie przestrzeni dyskowej i bazy danych.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Sprawdzenie funkcjonowania urządzenia i jego gotowości do pracy.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Dokumentacja przeglądów.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2. Kontrola jakości - podczas przeglądów okresowych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Sprawdzenie jakości obrazu.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Sprawdzenie wartości pomiarowych i aplikacyjnych aparatury z wykorzystaniem, w razie potrzeby, specjalistycznej aparatury pomiarowej i fantomów.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Przeprowadzenie czynności korygujących - ustawienie i regulacja odpowiednich wartości nastawień w przypadkach ich odchylenia od wartości optymalnych.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3. Zdalna diagnostyka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Wykorzystanie systemu zdalnej diagnostyki do diagnostyki i naprawy uszkodzeń.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Utrzymanie infrastruktury koniecznej do realizacji usług zdalnej diagnostyki łącznie z pokryciem kosztów użytkowania linii telekomunikacyjnej, jeżeli Zamawiający nie udostępni własnego łącza internetowego.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 xml:space="preserve">Standaryzacja bezpieczeństwa przetwarzanych danych, zgodnie z certyfikatem ISO/IEC 27001:2013 w celu ujednolicenia poziomu zarządzania bezpieczeństwem informacji w podmiotach realizujących zadania publiczne, zgodnie z §1 ust.1 pkt 3 </w:t>
        <w:br/>
        <w:t>w związku z §20 ust.1 Rozporządzenia Rady Ministrów z dnia 12 kwietnia 2012 r. w sprawie Krajowych Ram Interoperacyjności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Dotyczy aparatury wyposażonej funkcję zdalnej diagnostyki.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4. Naprawy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Umowa nie obejmuje napraw.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5. Części zamienne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 xml:space="preserve">Umowa obejmuje dostawę materiałów (fabrycznie nowych, w oryginalnych opakowaniach) niezbędnych </w:t>
        <w:br/>
        <w:t>do przeprowadzenia przeglądów.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Umowa nie obejmuje dostawy części zamiennych.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6. Obsługa serwisowa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Umowa zapewnia możliwość dokonywania zgłoszeń 24h na dobę, 7 dni w tygodniu.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Umowa zapewnia możliwość korzystania z dedykowanej pla􀆞ormy serwisowej 24h na dobę, 7 dni w tygodniu, pozwalającej na wykonywanie zgłoszeń, bieżące monitorowanie ich statusu oraz stanu realizacji.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 xml:space="preserve">Umowa zapewnia pracę inżyniera posiadającego certyfikat ze szkolenia serwisowego wydany przez producenta lub autoryzowany przez producenta ośrodek szkoleniowy serwisu w normalnych godzinach wykonywania usług serwisowych </w:t>
        <w:br/>
        <w:t>to jest od poniedziałku do piątku w godzinach od 8:00 do 17:00, za wyjątkiem dni ustawowo wolnych od pracy.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Doradztwo w zakresie aplikacji (w tym pomoc w optymalizacji działania urządzenia) i porady przez telefon, w tym jedno na rok  stacjonarne (w miejscu instalacji sprzętu) szkolenie z aplikacji zainstalowanych w aparacie przez specjalistów aplikacyjnych przeszkolonych u producenta aparatu</w:t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Standard"/>
        <w:tabs>
          <w:tab w:val="clear" w:pos="709"/>
          <w:tab w:val="left" w:pos="436" w:leader="none"/>
        </w:tabs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oferuje realizację przedmiotu zamówienia za cenę ……………………………… złotych, słownie: ............................................................................................ złotych,</w:t>
      </w:r>
    </w:p>
    <w:p>
      <w:pPr>
        <w:pStyle w:val="Standard"/>
        <w:tabs>
          <w:tab w:val="clear" w:pos="709"/>
          <w:tab w:val="left" w:pos="436" w:leader="none"/>
        </w:tabs>
        <w:jc w:val="both"/>
        <w:rPr/>
      </w:pPr>
      <w:r>
        <w:rPr>
          <w:rFonts w:ascii="Tahoma" w:hAnsi="Tahoma"/>
          <w:sz w:val="20"/>
          <w:szCs w:val="20"/>
        </w:rPr>
        <w:t>zgodnie  z  następującą</w:t>
      </w:r>
      <w:r>
        <w:rPr>
          <w:rFonts w:ascii="Tahoma" w:hAnsi="Tahoma"/>
          <w:color w:val="FF0000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  kalkulacją:</w:t>
      </w:r>
    </w:p>
    <w:tbl>
      <w:tblPr>
        <w:tblW w:w="9435" w:type="dxa"/>
        <w:jc w:val="left"/>
        <w:tblInd w:w="147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14"/>
        <w:gridCol w:w="1809"/>
        <w:gridCol w:w="1186"/>
        <w:gridCol w:w="1246"/>
        <w:gridCol w:w="1530"/>
        <w:gridCol w:w="1574"/>
        <w:gridCol w:w="1575"/>
      </w:tblGrid>
      <w:tr>
        <w:trPr>
          <w:trHeight w:val="1815" w:hRule="exact"/>
          <w:cantSplit w:val="true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ahoma" w:hAnsi="Tahoma"/>
                <w:b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Lp.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ahoma" w:hAnsi="Tahoma"/>
                <w:b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</w:r>
          </w:p>
          <w:p>
            <w:pPr>
              <w:pStyle w:val="Nagwek6"/>
              <w:tabs>
                <w:tab w:val="clear" w:pos="709"/>
                <w:tab w:val="left" w:pos="0" w:leader="none"/>
              </w:tabs>
              <w:spacing w:before="0" w:after="0"/>
              <w:jc w:val="center"/>
              <w:rPr>
                <w:rFonts w:ascii="Tahoma" w:hAnsi="Tahoma" w:eastAsia="SimSun" w:cs="Mangal"/>
                <w:sz w:val="20"/>
                <w:szCs w:val="20"/>
              </w:rPr>
            </w:pPr>
            <w:r>
              <w:rPr>
                <w:rFonts w:eastAsia="SimSun" w:cs="Mangal" w:ascii="Tahoma" w:hAnsi="Tahoma"/>
                <w:sz w:val="20"/>
                <w:szCs w:val="20"/>
              </w:rPr>
              <w:t>Przedmiot zamówienia</w:t>
            </w:r>
          </w:p>
          <w:p>
            <w:pPr>
              <w:pStyle w:val="Standard"/>
              <w:jc w:val="center"/>
              <w:rPr>
                <w:rFonts w:ascii="Tahoma" w:hAnsi="Tahoma"/>
                <w:b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Tahoma" w:hAnsi="Tahoma"/>
                <w:b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Ilość aparatów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 xml:space="preserve">Cena jednostkowa przeglądu rocznego        </w:t>
            </w:r>
            <w:r>
              <w:rPr>
                <w:rFonts w:ascii="Tahoma" w:hAnsi="Tahoma"/>
                <w:i/>
                <w:sz w:val="20"/>
                <w:szCs w:val="20"/>
              </w:rPr>
              <w:t>tzw. „brutto”</w:t>
            </w:r>
          </w:p>
          <w:p>
            <w:pPr>
              <w:pStyle w:val="Standard"/>
              <w:snapToGrid w:val="false"/>
              <w:jc w:val="center"/>
              <w:rPr>
                <w:rFonts w:ascii="Tahoma" w:hAnsi="Tahom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ahoma" w:hAnsi="Tahoma"/>
                <w:b/>
                <w:i/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ahoma" w:hAnsi="Tahoma"/>
                <w:b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Wartość przeglądów</w:t>
            </w:r>
          </w:p>
          <w:p>
            <w:pPr>
              <w:pStyle w:val="Standard"/>
              <w:jc w:val="center"/>
              <w:rPr>
                <w:rFonts w:ascii="Tahoma" w:hAnsi="Tahoma"/>
                <w:i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tzw. „brutto”</w:t>
            </w:r>
          </w:p>
          <w:p>
            <w:pPr>
              <w:pStyle w:val="Standard"/>
              <w:jc w:val="center"/>
              <w:rPr>
                <w:rFonts w:ascii="Tahoma" w:hAnsi="Tahoma"/>
                <w:i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(5 = 3 x 4)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fill="auto" w:val="clear"/>
          </w:tcPr>
          <w:p>
            <w:pPr>
              <w:pStyle w:val="Standard"/>
              <w:suppressAutoHyphens w:val="false"/>
              <w:jc w:val="center"/>
              <w:rPr>
                <w:rFonts w:ascii="Tahoma" w:hAnsi="Tahoma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Standard"/>
              <w:snapToGrid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/>
            </w:r>
          </w:p>
          <w:p>
            <w:pPr>
              <w:pStyle w:val="Standard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1/12 wartości przeglądów </w:t>
            </w:r>
          </w:p>
          <w:p>
            <w:pPr>
              <w:pStyle w:val="Standard"/>
              <w:snapToGrid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z poz. 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uppressAutoHyphens w:val="false"/>
              <w:jc w:val="center"/>
              <w:rPr/>
            </w:pPr>
            <w:r>
              <w:rPr/>
            </w:r>
          </w:p>
          <w:p>
            <w:pPr>
              <w:pStyle w:val="Standard"/>
              <w:snapToGrid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Kwota  podatku   VAT  zawarta  w kwocie ”Wartość” poz. 5 (zł)</w:t>
            </w:r>
          </w:p>
        </w:tc>
      </w:tr>
      <w:tr>
        <w:trPr>
          <w:trHeight w:val="173" w:hRule="atLeast"/>
          <w:cantSplit w:val="true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</w:t>
            </w:r>
          </w:p>
        </w:tc>
      </w:tr>
      <w:tr>
        <w:trPr>
          <w:trHeight w:val="878" w:hRule="atLeast"/>
          <w:cantSplit w:val="true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ahoma" w:hAnsi="Tahoma"/>
                <w:b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1.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ind w:left="72" w:hanging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Przeglądy akcleratora ONCOR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ahoma" w:hAnsi="Tahoma"/>
                <w:b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Tahoma" w:hAnsi="Tahoma"/>
                <w:b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4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ahoma" w:hAnsi="Tahoma"/>
                <w:b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Razem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</w:tbl>
    <w:p>
      <w:pPr>
        <w:pStyle w:val="Standard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-Bol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next w:val="Normal"/>
    <w:qFormat/>
    <w:pPr>
      <w:keepNext w:val="true"/>
      <w:suppressAutoHyphens w:val="true"/>
      <w:ind w:left="0" w:right="-142" w:hanging="0"/>
      <w:jc w:val="both"/>
      <w:outlineLvl w:val="3"/>
    </w:pPr>
    <w:rPr>
      <w:rFonts w:ascii="Arial" w:hAnsi="Arial" w:cs="Arial"/>
      <w:b/>
      <w:sz w:val="20"/>
    </w:rPr>
  </w:style>
  <w:style w:type="paragraph" w:styleId="Nagwek6">
    <w:name w:val="Heading 6"/>
    <w:basedOn w:val="Standard"/>
    <w:next w:val="Standard"/>
    <w:link w:val="Nagwek6Znak"/>
    <w:semiHidden/>
    <w:unhideWhenUsed/>
    <w:qFormat/>
    <w:rsid w:val="008216b3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link w:val="Nagwek6"/>
    <w:semiHidden/>
    <w:qFormat/>
    <w:rsid w:val="008216b3"/>
    <w:rPr>
      <w:rFonts w:ascii="Liberation Serif" w:hAnsi="Liberation Serif" w:eastAsia="Times New Roman" w:cs="Times New Roman"/>
      <w:b/>
      <w:bCs/>
      <w:kern w:val="2"/>
      <w:lang w:eastAsia="zh-CN" w:bidi="hi-IN"/>
    </w:rPr>
  </w:style>
  <w:style w:type="character" w:styleId="Znakinumeracji">
    <w:name w:val="Znaki numeracji"/>
    <w:qFormat/>
    <w:rPr/>
  </w:style>
  <w:style w:type="character" w:styleId="WWCharLFO6LVL9">
    <w:name w:val="WW_CharLFO6LVL9"/>
    <w:qFormat/>
    <w:rPr>
      <w:rFonts w:ascii="Tahoma" w:hAnsi="Tahoma" w:cs="Tahoma"/>
    </w:rPr>
  </w:style>
  <w:style w:type="character" w:styleId="WWCharLFO6LVL8">
    <w:name w:val="WW_CharLFO6LVL8"/>
    <w:qFormat/>
    <w:rPr>
      <w:rFonts w:ascii="Tahoma" w:hAnsi="Tahoma" w:cs="Tahoma"/>
    </w:rPr>
  </w:style>
  <w:style w:type="character" w:styleId="WWCharLFO6LVL7">
    <w:name w:val="WW_CharLFO6LVL7"/>
    <w:qFormat/>
    <w:rPr>
      <w:rFonts w:ascii="Tahoma" w:hAnsi="Tahoma" w:cs="Tahoma"/>
    </w:rPr>
  </w:style>
  <w:style w:type="character" w:styleId="WWCharLFO6LVL6">
    <w:name w:val="WW_CharLFO6LVL6"/>
    <w:qFormat/>
    <w:rPr>
      <w:rFonts w:ascii="Tahoma" w:hAnsi="Tahoma" w:cs="Tahoma"/>
    </w:rPr>
  </w:style>
  <w:style w:type="character" w:styleId="WWCharLFO6LVL5">
    <w:name w:val="WW_CharLFO6LVL5"/>
    <w:qFormat/>
    <w:rPr>
      <w:rFonts w:ascii="Tahoma" w:hAnsi="Tahoma" w:cs="Tahoma"/>
    </w:rPr>
  </w:style>
  <w:style w:type="character" w:styleId="WWCharLFO6LVL4">
    <w:name w:val="WW_CharLFO6LVL4"/>
    <w:qFormat/>
    <w:rPr>
      <w:rFonts w:ascii="Tahoma" w:hAnsi="Tahoma" w:cs="Tahoma"/>
    </w:rPr>
  </w:style>
  <w:style w:type="character" w:styleId="WWCharLFO6LVL3">
    <w:name w:val="WW_CharLFO6LVL3"/>
    <w:qFormat/>
    <w:rPr>
      <w:rFonts w:ascii="Tahoma" w:hAnsi="Tahoma" w:cs="Tahoma"/>
    </w:rPr>
  </w:style>
  <w:style w:type="character" w:styleId="WWCharLFO6LVL2">
    <w:name w:val="WW_CharLFO6LVL2"/>
    <w:qFormat/>
    <w:rPr>
      <w:rFonts w:ascii="Tahoma" w:hAnsi="Tahoma" w:cs="Tahoma"/>
    </w:rPr>
  </w:style>
  <w:style w:type="character" w:styleId="WWCharLFO6LVL1">
    <w:name w:val="WW_CharLFO6LVL1"/>
    <w:qFormat/>
    <w:rPr>
      <w:rFonts w:ascii="Times New Roman" w:hAnsi="Times New Roman" w:cs="Tahoma"/>
      <w:b/>
      <w:bCs/>
      <w:sz w:val="20"/>
      <w:szCs w:val="20"/>
    </w:rPr>
  </w:style>
  <w:style w:type="character" w:styleId="WWCharLFO10LVL9">
    <w:name w:val="WW_CharLFO10LVL9"/>
    <w:qFormat/>
    <w:rPr>
      <w:rFonts w:ascii="Tahoma" w:hAnsi="Tahoma" w:cs="Tahoma"/>
    </w:rPr>
  </w:style>
  <w:style w:type="character" w:styleId="WWCharLFO10LVL8">
    <w:name w:val="WW_CharLFO10LVL8"/>
    <w:qFormat/>
    <w:rPr>
      <w:rFonts w:ascii="Tahoma" w:hAnsi="Tahoma" w:cs="Tahoma"/>
    </w:rPr>
  </w:style>
  <w:style w:type="character" w:styleId="WWCharLFO10LVL7">
    <w:name w:val="WW_CharLFO10LVL7"/>
    <w:qFormat/>
    <w:rPr>
      <w:rFonts w:ascii="Tahoma" w:hAnsi="Tahoma" w:cs="Tahoma"/>
    </w:rPr>
  </w:style>
  <w:style w:type="character" w:styleId="WWCharLFO10LVL6">
    <w:name w:val="WW_CharLFO10LVL6"/>
    <w:qFormat/>
    <w:rPr>
      <w:rFonts w:ascii="Tahoma" w:hAnsi="Tahoma" w:cs="Tahoma"/>
    </w:rPr>
  </w:style>
  <w:style w:type="character" w:styleId="WWCharLFO10LVL5">
    <w:name w:val="WW_CharLFO10LVL5"/>
    <w:qFormat/>
    <w:rPr>
      <w:rFonts w:ascii="Tahoma" w:hAnsi="Tahoma" w:cs="Tahoma"/>
    </w:rPr>
  </w:style>
  <w:style w:type="character" w:styleId="WWCharLFO10LVL4">
    <w:name w:val="WW_CharLFO10LVL4"/>
    <w:qFormat/>
    <w:rPr>
      <w:rFonts w:ascii="Tahoma" w:hAnsi="Tahoma" w:cs="Tahoma"/>
    </w:rPr>
  </w:style>
  <w:style w:type="character" w:styleId="WWCharLFO10LVL3">
    <w:name w:val="WW_CharLFO10LVL3"/>
    <w:qFormat/>
    <w:rPr>
      <w:rFonts w:ascii="Tahoma" w:hAnsi="Tahoma" w:cs="Tahoma"/>
    </w:rPr>
  </w:style>
  <w:style w:type="character" w:styleId="WWCharLFO10LVL2">
    <w:name w:val="WW_CharLFO10LVL2"/>
    <w:qFormat/>
    <w:rPr>
      <w:rFonts w:ascii="Tahoma" w:hAnsi="Tahoma" w:cs="Tahoma"/>
    </w:rPr>
  </w:style>
  <w:style w:type="character" w:styleId="WWCharLFO10LVL1">
    <w:name w:val="WW_CharLFO10LVL1"/>
    <w:qFormat/>
    <w:rPr>
      <w:rFonts w:ascii="Times New Roman" w:hAnsi="Times New Roman" w:cs="Tahoma"/>
      <w:b/>
      <w:bCs/>
      <w:sz w:val="20"/>
      <w:szCs w:val="20"/>
    </w:rPr>
  </w:style>
  <w:style w:type="character" w:styleId="WWCharLFO9LVL9">
    <w:name w:val="WW_CharLFO9LVL9"/>
    <w:qFormat/>
    <w:rPr>
      <w:rFonts w:ascii="Tahoma" w:hAnsi="Tahoma" w:cs="Tahoma"/>
    </w:rPr>
  </w:style>
  <w:style w:type="character" w:styleId="WWCharLFO9LVL8">
    <w:name w:val="WW_CharLFO9LVL8"/>
    <w:qFormat/>
    <w:rPr>
      <w:rFonts w:ascii="Tahoma" w:hAnsi="Tahoma" w:cs="Tahoma"/>
    </w:rPr>
  </w:style>
  <w:style w:type="character" w:styleId="WWCharLFO9LVL7">
    <w:name w:val="WW_CharLFO9LVL7"/>
    <w:qFormat/>
    <w:rPr>
      <w:rFonts w:ascii="Tahoma" w:hAnsi="Tahoma" w:cs="Tahoma"/>
    </w:rPr>
  </w:style>
  <w:style w:type="character" w:styleId="WWCharLFO9LVL6">
    <w:name w:val="WW_CharLFO9LVL6"/>
    <w:qFormat/>
    <w:rPr>
      <w:rFonts w:ascii="Tahoma" w:hAnsi="Tahoma" w:cs="Tahoma"/>
    </w:rPr>
  </w:style>
  <w:style w:type="character" w:styleId="WWCharLFO9LVL5">
    <w:name w:val="WW_CharLFO9LVL5"/>
    <w:qFormat/>
    <w:rPr>
      <w:rFonts w:ascii="Tahoma" w:hAnsi="Tahoma" w:cs="Tahoma"/>
    </w:rPr>
  </w:style>
  <w:style w:type="character" w:styleId="WWCharLFO9LVL4">
    <w:name w:val="WW_CharLFO9LVL4"/>
    <w:qFormat/>
    <w:rPr>
      <w:rFonts w:ascii="Tahoma" w:hAnsi="Tahoma" w:cs="Tahoma"/>
    </w:rPr>
  </w:style>
  <w:style w:type="character" w:styleId="WWCharLFO9LVL3">
    <w:name w:val="WW_CharLFO9LVL3"/>
    <w:qFormat/>
    <w:rPr>
      <w:rFonts w:ascii="Tahoma" w:hAnsi="Tahoma" w:cs="Tahoma"/>
    </w:rPr>
  </w:style>
  <w:style w:type="character" w:styleId="WWCharLFO9LVL2">
    <w:name w:val="WW_CharLFO9LVL2"/>
    <w:qFormat/>
    <w:rPr>
      <w:rFonts w:ascii="Tahoma" w:hAnsi="Tahoma" w:cs="Tahoma"/>
    </w:rPr>
  </w:style>
  <w:style w:type="character" w:styleId="WWCharLFO9LVL1">
    <w:name w:val="WW_CharLFO9LVL1"/>
    <w:qFormat/>
    <w:rPr>
      <w:rFonts w:ascii="Times New Roman" w:hAnsi="Times New Roman" w:cs="Tahoma"/>
      <w:b/>
      <w:bCs/>
      <w:sz w:val="20"/>
      <w:szCs w:val="20"/>
    </w:rPr>
  </w:style>
  <w:style w:type="character" w:styleId="WWCharLFO8LVL9">
    <w:name w:val="WW_CharLFO8LVL9"/>
    <w:qFormat/>
    <w:rPr>
      <w:rFonts w:ascii="Tahoma" w:hAnsi="Tahoma" w:cs="Tahoma"/>
    </w:rPr>
  </w:style>
  <w:style w:type="character" w:styleId="WWCharLFO8LVL8">
    <w:name w:val="WW_CharLFO8LVL8"/>
    <w:qFormat/>
    <w:rPr>
      <w:rFonts w:ascii="Tahoma" w:hAnsi="Tahoma" w:cs="Tahoma"/>
    </w:rPr>
  </w:style>
  <w:style w:type="character" w:styleId="WWCharLFO8LVL7">
    <w:name w:val="WW_CharLFO8LVL7"/>
    <w:qFormat/>
    <w:rPr>
      <w:rFonts w:ascii="Tahoma" w:hAnsi="Tahoma" w:cs="Tahoma"/>
    </w:rPr>
  </w:style>
  <w:style w:type="character" w:styleId="WWCharLFO8LVL6">
    <w:name w:val="WW_CharLFO8LVL6"/>
    <w:qFormat/>
    <w:rPr>
      <w:rFonts w:ascii="Tahoma" w:hAnsi="Tahoma" w:cs="Tahoma"/>
    </w:rPr>
  </w:style>
  <w:style w:type="character" w:styleId="WWCharLFO8LVL5">
    <w:name w:val="WW_CharLFO8LVL5"/>
    <w:qFormat/>
    <w:rPr>
      <w:rFonts w:ascii="Tahoma" w:hAnsi="Tahoma" w:cs="Tahoma"/>
    </w:rPr>
  </w:style>
  <w:style w:type="character" w:styleId="WWCharLFO8LVL4">
    <w:name w:val="WW_CharLFO8LVL4"/>
    <w:qFormat/>
    <w:rPr>
      <w:rFonts w:ascii="Tahoma" w:hAnsi="Tahoma" w:cs="Tahoma"/>
    </w:rPr>
  </w:style>
  <w:style w:type="character" w:styleId="WWCharLFO8LVL3">
    <w:name w:val="WW_CharLFO8LVL3"/>
    <w:qFormat/>
    <w:rPr>
      <w:rFonts w:ascii="Tahoma" w:hAnsi="Tahoma" w:cs="Tahoma"/>
    </w:rPr>
  </w:style>
  <w:style w:type="character" w:styleId="WWCharLFO8LVL2">
    <w:name w:val="WW_CharLFO8LVL2"/>
    <w:qFormat/>
    <w:rPr>
      <w:rFonts w:ascii="Tahoma" w:hAnsi="Tahoma" w:cs="Tahoma"/>
    </w:rPr>
  </w:style>
  <w:style w:type="character" w:styleId="WWCharLFO8LVL1">
    <w:name w:val="WW_CharLFO8LVL1"/>
    <w:qFormat/>
    <w:rPr>
      <w:rFonts w:ascii="Times New Roman" w:hAnsi="Times New Roman" w:cs="Tahoma"/>
      <w:b/>
      <w:bCs/>
      <w:sz w:val="20"/>
      <w:szCs w:val="20"/>
    </w:rPr>
  </w:style>
  <w:style w:type="character" w:styleId="WWCharLFO4LVL1">
    <w:name w:val="WW_CharLFO4LVL1"/>
    <w:qFormat/>
    <w:rPr>
      <w:rFonts w:ascii="Times New Roman" w:hAnsi="Times New Roman" w:cs="Tahoma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Domylnaczcionkaakapitu1">
    <w:name w:val="Domyślna czcionka akapitu1"/>
    <w:qFormat/>
    <w:rPr/>
  </w:style>
  <w:style w:type="character" w:styleId="WW8Num9z0">
    <w:name w:val="WW8Num9z0"/>
    <w:qFormat/>
    <w:rPr>
      <w:b w:val="false"/>
      <w:i/>
      <w:sz w:val="20"/>
      <w:szCs w:val="20"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5z0">
    <w:name w:val="WW8Num15z0"/>
    <w:qFormat/>
    <w:rPr>
      <w:rFonts w:ascii="Times New Roman" w:hAnsi="Times New Roman" w:cs="Times New Roman"/>
      <w:sz w:val="22"/>
      <w:szCs w:val="22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3z0">
    <w:name w:val="WW8Num13z0"/>
    <w:qFormat/>
    <w:rPr>
      <w:rFonts w:ascii="Times New Roman" w:hAnsi="Times New Roman" w:cs="Times New Roman"/>
      <w:sz w:val="22"/>
      <w:szCs w:val="22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Times New Roman" w:hAnsi="Times New Roman" w:cs="Times New Roman"/>
      <w:sz w:val="22"/>
      <w:szCs w:val="22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23z0">
    <w:name w:val="WW8Num23z0"/>
    <w:qFormat/>
    <w:rPr>
      <w:rFonts w:ascii="Times New Roman" w:hAnsi="Times New Roman" w:cs="Times New Roman"/>
      <w:b/>
      <w:bCs w:val="false"/>
      <w:i w:val="false"/>
      <w:iCs w:val="false"/>
      <w:sz w:val="20"/>
      <w:szCs w:val="20"/>
      <w:highlight w:val="lightGray"/>
    </w:rPr>
  </w:style>
  <w:style w:type="character" w:styleId="WW8Num23z1">
    <w:name w:val="WW8Num23z1"/>
    <w:qFormat/>
    <w:rPr>
      <w:rFonts w:ascii="Symbol" w:hAnsi="Symbol" w:cs="Symbol"/>
      <w:b/>
      <w:color w:val="00000A"/>
    </w:rPr>
  </w:style>
  <w:style w:type="character" w:styleId="WW8Num23z2">
    <w:name w:val="WW8Num23z2"/>
    <w:qFormat/>
    <w:rPr>
      <w:rFonts w:cs="Times New Roman"/>
    </w:rPr>
  </w:style>
  <w:style w:type="character" w:styleId="WW8Num21z0">
    <w:name w:val="WW8Num21z0"/>
    <w:qFormat/>
    <w:rPr>
      <w:rFonts w:ascii="Trebuchet MS" w:hAnsi="Trebuchet MS" w:cs="Times New Roman"/>
      <w:b/>
      <w:sz w:val="20"/>
      <w:szCs w:val="20"/>
    </w:rPr>
  </w:style>
  <w:style w:type="character" w:styleId="WW8Num21z1">
    <w:name w:val="WW8Num21z1"/>
    <w:qFormat/>
    <w:rPr>
      <w:rFonts w:ascii="Trebuchet MS" w:hAnsi="Trebuchet MS" w:cs="Times New Roman"/>
      <w:b w:val="false"/>
      <w:bCs w:val="false"/>
      <w:i/>
      <w:sz w:val="20"/>
      <w:szCs w:val="20"/>
    </w:rPr>
  </w:style>
  <w:style w:type="character" w:styleId="WW8Num21z2">
    <w:name w:val="WW8Num21z2"/>
    <w:qFormat/>
    <w:rPr>
      <w:rFonts w:cs="Times New Roman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WW8Num28z0">
    <w:name w:val="WW8Num28z0"/>
    <w:qFormat/>
    <w:rPr>
      <w:rFonts w:ascii="Times New Roman" w:hAnsi="Times New Roman" w:cs="Times New Roman"/>
      <w:b/>
      <w:sz w:val="20"/>
      <w:szCs w:val="20"/>
    </w:rPr>
  </w:style>
  <w:style w:type="character" w:styleId="WW8Num28z1">
    <w:name w:val="WW8Num28z1"/>
    <w:qFormat/>
    <w:rPr>
      <w:rFonts w:ascii="Times New Roman" w:hAnsi="Times New Roman" w:cs="Times New Roman"/>
      <w:b w:val="false"/>
      <w:bCs w:val="false"/>
      <w:i/>
      <w:sz w:val="20"/>
      <w:szCs w:val="20"/>
    </w:rPr>
  </w:style>
  <w:style w:type="character" w:styleId="WW8Num28z2">
    <w:name w:val="WW8Num28z2"/>
    <w:qFormat/>
    <w:rPr>
      <w:rFonts w:cs="Times New Roman"/>
    </w:rPr>
  </w:style>
  <w:style w:type="character" w:styleId="WW8Num22z0">
    <w:name w:val="WW8Num22z0"/>
    <w:qFormat/>
    <w:rPr>
      <w:rFonts w:ascii="Times New Roman" w:hAnsi="Times New Roman" w:cs="Trebuchet MS"/>
      <w:b/>
      <w:bCs/>
      <w:i w:val="false"/>
      <w:iCs w:val="false"/>
      <w:sz w:val="20"/>
      <w:szCs w:val="20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4z0">
    <w:name w:val="WW8Num24z0"/>
    <w:qFormat/>
    <w:rPr>
      <w:rFonts w:ascii="Symbol" w:hAnsi="Symbol" w:cs="Symbol"/>
      <w:sz w:val="20"/>
    </w:rPr>
  </w:style>
  <w:style w:type="character" w:styleId="WW8Num24z1">
    <w:name w:val="WW8Num24z1"/>
    <w:qFormat/>
    <w:rPr>
      <w:rFonts w:ascii="Symbol" w:hAnsi="Symbol" w:cs="Tahoma"/>
    </w:rPr>
  </w:style>
  <w:style w:type="character" w:styleId="WW8Num24z2">
    <w:name w:val="WW8Num24z2"/>
    <w:qFormat/>
    <w:rPr/>
  </w:style>
  <w:style w:type="character" w:styleId="WW8Num24z3">
    <w:name w:val="WW8Num24z3"/>
    <w:qFormat/>
    <w:rPr>
      <w:b/>
    </w:rPr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DeltaViewInsertion">
    <w:name w:val="DeltaView Insertion"/>
    <w:qFormat/>
    <w:rPr>
      <w:b/>
      <w:i/>
      <w:spacing w:val="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8216b3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Zawartotabeli" w:customStyle="1">
    <w:name w:val="Zawartość tabeli"/>
    <w:basedOn w:val="Standard"/>
    <w:qFormat/>
    <w:rsid w:val="008216b3"/>
    <w:pPr>
      <w:suppressLineNumbers/>
    </w:pPr>
    <w:rPr/>
  </w:style>
  <w:style w:type="paragraph" w:styleId="Gmailm4122435565963056083msolistparagraph">
    <w:name w:val="gmail-m_4122435565963056083msolistparagraph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Tekstpodstawowywcity31">
    <w:name w:val="Tekst podstawowy wcięty 31"/>
    <w:basedOn w:val="Normal"/>
    <w:qFormat/>
    <w:pPr>
      <w:ind w:left="709" w:right="0" w:hanging="1"/>
      <w:jc w:val="both"/>
    </w:pPr>
    <w:rPr>
      <w:sz w:val="28"/>
    </w:rPr>
  </w:style>
  <w:style w:type="paragraph" w:styleId="Bodytext">
    <w:name w:val="body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color w:val="1D1D1D"/>
      <w:sz w:val="24"/>
      <w:szCs w:val="24"/>
      <w:lang w:eastAsia="pl-PL"/>
    </w:rPr>
  </w:style>
  <w:style w:type="paragraph" w:styleId="Wcicietrecitekstu">
    <w:name w:val="Body Text Indent"/>
    <w:basedOn w:val="Tretekstu"/>
    <w:pPr>
      <w:ind w:left="0" w:right="0" w:firstLine="360"/>
      <w:jc w:val="left"/>
    </w:pPr>
    <w:rPr>
      <w:sz w:val="20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BodyText2">
    <w:name w:val="Body Text 2"/>
    <w:basedOn w:val="Normal"/>
    <w:qFormat/>
    <w:pPr/>
    <w:rPr>
      <w:sz w:val="24"/>
    </w:rPr>
  </w:style>
  <w:style w:type="paragraph" w:styleId="Przypisdolny">
    <w:name w:val="Footnote Text"/>
    <w:basedOn w:val="Normal"/>
    <w:qFormat/>
    <w:pPr/>
    <w:rPr>
      <w:rFonts w:ascii="Calibri" w:hAnsi="Calibri" w:eastAsia="Calibri" w:cs="Calibri"/>
    </w:rPr>
  </w:style>
  <w:style w:type="numbering" w:styleId="NoList" w:default="1">
    <w:name w:val="No List"/>
    <w:uiPriority w:val="99"/>
    <w:semiHidden/>
    <w:unhideWhenUsed/>
    <w:qFormat/>
  </w:style>
  <w:style w:type="numbering" w:styleId="WW8Num23">
    <w:name w:val="WW8Num23"/>
    <w:qFormat/>
  </w:style>
  <w:style w:type="numbering" w:styleId="WW8Num21">
    <w:name w:val="WW8Num21"/>
    <w:qFormat/>
  </w:style>
  <w:style w:type="numbering" w:styleId="WW8Num28">
    <w:name w:val="WW8Num28"/>
    <w:qFormat/>
  </w:style>
  <w:style w:type="numbering" w:styleId="WW8Num22">
    <w:name w:val="WW8Num22"/>
    <w:qFormat/>
  </w:style>
  <w:style w:type="numbering" w:styleId="WW8Num24">
    <w:name w:val="WW8Num24"/>
    <w:qFormat/>
  </w:style>
  <w:style w:type="numbering" w:styleId="WW8Num9">
    <w:name w:val="WW8Num9"/>
    <w:qFormat/>
  </w:style>
  <w:style w:type="numbering" w:styleId="WW8Num15">
    <w:name w:val="WW8Num15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4">
    <w:name w:val="WW8Num4"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LibreOffice/6.3.1.2$Windows_x86 LibreOffice_project/b79626edf0065ac373bd1df5c28bd630b4424273</Application>
  <Pages>2</Pages>
  <Words>479</Words>
  <Characters>3228</Characters>
  <CharactersWithSpaces>3761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2019-10-08T08:52:00Z</dcterms:created>
  <dc:creator>TE-Z-CA</dc:creator>
  <dc:description/>
  <dc:language>pl-PL</dc:language>
  <cp:lastModifiedBy/>
  <dcterms:modified xsi:type="dcterms:W3CDTF">2019-10-22T10:37:12Z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