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247E" w14:textId="176A7F29" w:rsidR="002040A1" w:rsidRDefault="007472AE" w:rsidP="002040A1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Numer referencyjny: TZ.372.</w:t>
      </w:r>
      <w:r w:rsidR="002040A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3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9.2020 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</w:p>
    <w:p w14:paraId="1BA64785" w14:textId="58284667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Załącznik nr </w:t>
      </w:r>
      <w:r w:rsidR="004E04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do SIWZ</w:t>
      </w:r>
    </w:p>
    <w:p w14:paraId="55128152" w14:textId="52C02E90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1 do umowy nr TZ.TA.372.39.2.2020</w:t>
      </w:r>
    </w:p>
    <w:p w14:paraId="41F815FC" w14:textId="77777777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</w:p>
    <w:p w14:paraId="65702D4D" w14:textId="77777777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14:paraId="6A815F55" w14:textId="19124AC6" w:rsidR="007472AE" w:rsidRDefault="002040A1" w:rsidP="002040A1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(pieczęć adresowa wykonawcy)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  <w:t xml:space="preserve">          </w:t>
      </w:r>
    </w:p>
    <w:p w14:paraId="6DCB5E53" w14:textId="77777777" w:rsidR="002040A1" w:rsidRPr="002040A1" w:rsidRDefault="002040A1" w:rsidP="002040A1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14:paraId="00332077" w14:textId="77777777" w:rsidR="007472AE" w:rsidRPr="002040A1" w:rsidRDefault="007472AE" w:rsidP="007472AE">
      <w:pPr>
        <w:suppressAutoHyphens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</w:pPr>
      <w:r w:rsidRPr="002040A1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  <w:t>Formularz cenowo – techniczny dla zadania nr 2</w:t>
      </w:r>
    </w:p>
    <w:p w14:paraId="44712DE0" w14:textId="77777777" w:rsidR="007472AE" w:rsidRPr="007472AE" w:rsidRDefault="007472AE" w:rsidP="007472AE">
      <w:pPr>
        <w:suppressAutoHyphens w:val="0"/>
        <w:jc w:val="center"/>
        <w:textAlignment w:val="auto"/>
        <w:outlineLvl w:val="0"/>
        <w:rPr>
          <w:rFonts w:eastAsia="Times New Roman" w:cs="Liberation Serif"/>
          <w:b/>
          <w:bCs/>
          <w:color w:val="auto"/>
          <w:kern w:val="36"/>
          <w:lang w:eastAsia="pl-PL" w:bidi="ar-SA"/>
        </w:rPr>
      </w:pPr>
    </w:p>
    <w:p w14:paraId="44F9D081" w14:textId="2DEE9289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1. 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Przedmiotem zamówienia są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sukcesywne dostawy naczyniowych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z PTFE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 zwanych dalej wyrobami.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3EC0BCD4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2.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gwarantuje, że wyroby objęte zamówieniem dotyczącym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zadania nr 2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spełniać będą wszystkie - wskazane w niniejszym załączniku - wymagania eksploatacyjno - techniczne i jakościowe. </w:t>
      </w:r>
    </w:p>
    <w:p w14:paraId="0318F44D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Wykonawca zobowiązuje się w ramach przedmiotu umowy i jego cenie utworzyć w Centralnym Bloku Operacyjnym zamawiającego bank depozytowy wyrobów w pełnym asortymencie i zakresie wymaganych rozmiarów. </w:t>
      </w:r>
    </w:p>
    <w:p w14:paraId="6F60D4EF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 </w:t>
      </w:r>
    </w:p>
    <w:p w14:paraId="70D5C00C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nazwa wyrobu, nazwa producenta, </w:t>
      </w:r>
    </w:p>
    <w:p w14:paraId="53357A6E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kod partii lub serii wyrobu, </w:t>
      </w:r>
    </w:p>
    <w:p w14:paraId="45A6A15B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oznaczenie daty, przed upływem której wyrób może być używany bezpiecznie, wyrażonej w latach i miesiącach, </w:t>
      </w:r>
    </w:p>
    <w:p w14:paraId="24890045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oznakowanie CE, </w:t>
      </w:r>
    </w:p>
    <w:p w14:paraId="36DC133C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inne oznaczenia i informacje wymagane na podstawie odrębnych przepisów. </w:t>
      </w:r>
    </w:p>
    <w:p w14:paraId="33DAB92B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Uwaga: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Okres ważności wyrobów powinien wynosić minimum 24 miesiące od dnia dostawy do siedziby zamawiającego. </w:t>
      </w:r>
    </w:p>
    <w:p w14:paraId="68FE6E53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5.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oświadcza, że dostarczane zamawiającemu wyroby spełniać będą właściwe, ustalone w obowiązujących przepisach prawa wymagania odnośnie dopuszczenia do użytkowania przedmiotowych wyrobów w polskich zakładach opieki zdrowotnej. </w:t>
      </w:r>
    </w:p>
    <w:p w14:paraId="03DB5FD7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6.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zapewnia, że na potwierdzenie stanu faktycznego, o którym mowa w pkt. 2 i 5 posiada stosowne dokumenty, które zostaną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niezwłocznie przekazane zamawiającemu, na jego pisemny wniosek. </w:t>
      </w:r>
    </w:p>
    <w:p w14:paraId="11F86DFC" w14:textId="34785954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7.</w:t>
      </w:r>
      <w:r w:rsidRPr="007472A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Wykonawca zobowiązuje się w ramach przedmiotu umowy i jego cenie uzupełniać bank depozytowy niezwłocznie, nie później niż w terminie do </w:t>
      </w:r>
      <w:r w:rsidRPr="002040A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…..</w:t>
      </w:r>
      <w:r w:rsidRPr="007472A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dni roboczych od daty przesłania raportu implantacji za pośrednictwem faksu na numer: …………………………….… lub poczty elektronicznej na adres </w:t>
      </w:r>
      <w:r w:rsidR="002040A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472A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e-mail: ……………………………………. </w:t>
      </w:r>
    </w:p>
    <w:p w14:paraId="02A01CD7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8. 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Wykonawca oferuje realizację niniejszego zamówienia za cenę .................................... złotych, słownie złotych: ......................................................................</w:t>
      </w:r>
    </w:p>
    <w:p w14:paraId="537F11BC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..................................................................................................................................... zgodnie z poniższą kalkulacją: </w:t>
      </w:r>
    </w:p>
    <w:p w14:paraId="4CD84AE4" w14:textId="77777777" w:rsidR="007472AE" w:rsidRDefault="007472AE">
      <w:pPr>
        <w:rPr>
          <w:rFonts w:ascii="Times New Roman" w:hAnsi="Times New Roman" w:cs="Times New Roman"/>
          <w:b/>
          <w:bCs/>
          <w:lang w:val="en-US"/>
        </w:rPr>
      </w:pPr>
    </w:p>
    <w:p w14:paraId="20BDE565" w14:textId="77777777" w:rsidR="00D969FC" w:rsidRDefault="001577DD"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ZADANIE </w:t>
      </w:r>
      <w:r w:rsidR="007472AE">
        <w:rPr>
          <w:rFonts w:ascii="Times New Roman" w:hAnsi="Times New Roman" w:cs="Times New Roman"/>
          <w:b/>
          <w:bCs/>
          <w:lang w:val="en-US"/>
        </w:rPr>
        <w:t xml:space="preserve">nr </w:t>
      </w:r>
      <w:r>
        <w:rPr>
          <w:rFonts w:ascii="Times New Roman" w:hAnsi="Times New Roman" w:cs="Times New Roman"/>
          <w:b/>
          <w:bCs/>
          <w:lang w:val="en-US"/>
        </w:rPr>
        <w:t xml:space="preserve">2 </w:t>
      </w:r>
    </w:p>
    <w:tbl>
      <w:tblPr>
        <w:tblStyle w:val="Tabela-Siatka"/>
        <w:tblW w:w="14220" w:type="dxa"/>
        <w:tblInd w:w="-60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629"/>
        <w:gridCol w:w="3219"/>
        <w:gridCol w:w="1115"/>
        <w:gridCol w:w="596"/>
        <w:gridCol w:w="1342"/>
        <w:gridCol w:w="1374"/>
        <w:gridCol w:w="853"/>
        <w:gridCol w:w="1417"/>
        <w:gridCol w:w="1452"/>
        <w:gridCol w:w="2223"/>
      </w:tblGrid>
      <w:tr w:rsidR="00D969FC" w14:paraId="62ABD5D6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  <w:vAlign w:val="center"/>
          </w:tcPr>
          <w:p w14:paraId="301621FE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  <w:vAlign w:val="center"/>
          </w:tcPr>
          <w:p w14:paraId="5C22DFFE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40F8017E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055E2009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06FFA3E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183FBC52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14:paraId="602862BD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6=4x5</w:t>
            </w: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0860DB6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06CDEA1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brutto</w:t>
            </w:r>
          </w:p>
          <w:p w14:paraId="249A4EDF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8=5+7</w:t>
            </w: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4ED084AC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14:paraId="307E9526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9=6+7</w:t>
            </w: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  <w:vAlign w:val="center"/>
          </w:tcPr>
          <w:p w14:paraId="032CA46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Producent/nazwa własna/nr katalogowy</w:t>
            </w:r>
          </w:p>
        </w:tc>
      </w:tr>
      <w:tr w:rsidR="00D969FC" w14:paraId="69D063B7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  <w:vAlign w:val="center"/>
          </w:tcPr>
          <w:p w14:paraId="75376B73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  <w:vAlign w:val="center"/>
          </w:tcPr>
          <w:p w14:paraId="6A222385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3AB99230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7C2A125A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750EFB81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5AD38AF5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0086C607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4D67B90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1F32547B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  <w:vAlign w:val="center"/>
          </w:tcPr>
          <w:p w14:paraId="68DFB930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969FC" w14:paraId="7FFB250B" w14:textId="77777777" w:rsidTr="002040A1">
        <w:trPr>
          <w:trHeight w:val="405"/>
        </w:trPr>
        <w:tc>
          <w:tcPr>
            <w:tcW w:w="14220" w:type="dxa"/>
            <w:gridSpan w:val="10"/>
            <w:shd w:val="clear" w:color="auto" w:fill="auto"/>
            <w:tcMar>
              <w:left w:w="48" w:type="dxa"/>
            </w:tcMar>
            <w:vAlign w:val="center"/>
          </w:tcPr>
          <w:p w14:paraId="7A8E584A" w14:textId="77777777" w:rsidR="00D969FC" w:rsidRDefault="001577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PROTEZY NACZYNIOWE Z PTFE </w:t>
            </w:r>
          </w:p>
          <w:p w14:paraId="41DE15E7" w14:textId="77777777" w:rsidR="00D969FC" w:rsidRPr="00A06606" w:rsidRDefault="00D96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FC" w14:paraId="537004FB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</w:tcPr>
          <w:p w14:paraId="60C906F0" w14:textId="77777777" w:rsidR="00D969FC" w:rsidRDefault="001577D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</w:tcPr>
          <w:p w14:paraId="1B1C0D6A" w14:textId="5ECD56E7" w:rsidR="00A06606" w:rsidRPr="00A06606" w:rsidRDefault="001577DD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Proteza naczyniowa prosta, niezbrojona, w części dystalnej</w:t>
            </w:r>
            <w:r w:rsidR="00A06606">
              <w:rPr>
                <w:rFonts w:ascii="Times New Roman" w:eastAsia="Arial Unicode MS" w:hAnsi="Times New Roman" w:cs="Times New Roman"/>
              </w:rPr>
              <w:t xml:space="preserve"> zakończona mankietem, w</w:t>
            </w:r>
            <w:r>
              <w:rPr>
                <w:rFonts w:ascii="Times New Roman" w:eastAsia="Arial Unicode MS" w:hAnsi="Times New Roman" w:cs="Times New Roman"/>
              </w:rPr>
              <w:t>zmocniona dwuwarstwowa struktura ścian,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proteza wykonana techno</w:t>
            </w:r>
            <w:r w:rsidR="002871D1">
              <w:rPr>
                <w:rFonts w:ascii="Times New Roman" w:eastAsia="Arial Unicode MS" w:hAnsi="Times New Roman" w:cs="Times New Roman"/>
              </w:rPr>
              <w:t xml:space="preserve">logią kompleksowego wzmocnienia </w:t>
            </w:r>
            <w:r>
              <w:rPr>
                <w:rFonts w:ascii="Times New Roman" w:eastAsia="Arial Unicode MS" w:hAnsi="Times New Roman" w:cs="Times New Roman"/>
              </w:rPr>
              <w:t>celem zapewnienia optymalnej odporności radialnej na zaginanie i zagniatanie oraz gojenia się po wewnętrz</w:t>
            </w:r>
            <w:r w:rsidR="00A06606">
              <w:rPr>
                <w:rFonts w:ascii="Times New Roman" w:eastAsia="Arial Unicode MS" w:hAnsi="Times New Roman" w:cs="Times New Roman"/>
              </w:rPr>
              <w:t>nej stronie ściany, zbudowana z </w:t>
            </w:r>
            <w:r>
              <w:rPr>
                <w:rFonts w:ascii="Times New Roman" w:eastAsia="Arial Unicode MS" w:hAnsi="Times New Roman" w:cs="Times New Roman"/>
              </w:rPr>
              <w:t>rozci</w:t>
            </w:r>
            <w:r w:rsidR="00A06606">
              <w:rPr>
                <w:rFonts w:ascii="Times New Roman" w:eastAsia="Arial Unicode MS" w:hAnsi="Times New Roman" w:cs="Times New Roman"/>
              </w:rPr>
              <w:t xml:space="preserve">ągliwego politetrafluoroetylenu </w:t>
            </w:r>
            <w:r>
              <w:rPr>
                <w:rFonts w:ascii="Times New Roman" w:eastAsia="Arial Unicode MS" w:hAnsi="Times New Roman" w:cs="Times New Roman"/>
              </w:rPr>
              <w:t xml:space="preserve">(PTFE). </w:t>
            </w:r>
            <w:r w:rsidRPr="00A06606">
              <w:rPr>
                <w:rFonts w:ascii="Times New Roman" w:eastAsia="Arial Unicode MS" w:hAnsi="Times New Roman" w:cs="Times New Roman"/>
                <w:b/>
              </w:rPr>
              <w:t xml:space="preserve">Długość 40,60,80 cm </w:t>
            </w:r>
          </w:p>
          <w:p w14:paraId="1E3B6863" w14:textId="77777777" w:rsidR="00D969FC" w:rsidRDefault="001577DD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06606">
              <w:rPr>
                <w:rFonts w:ascii="Times New Roman" w:eastAsia="Arial Unicode MS" w:hAnsi="Times New Roman" w:cs="Times New Roman"/>
                <w:b/>
              </w:rPr>
              <w:t>średnice:</w:t>
            </w:r>
            <w:r w:rsidR="00A06606" w:rsidRPr="00A06606">
              <w:rPr>
                <w:rFonts w:ascii="Times New Roman" w:eastAsia="Arial Unicode MS" w:hAnsi="Times New Roman" w:cs="Times New Roman"/>
                <w:b/>
              </w:rPr>
              <w:t xml:space="preserve"> 6,7,8 mm</w:t>
            </w:r>
            <w:r w:rsidR="00A06606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68205F60" w14:textId="77777777" w:rsidR="00D969FC" w:rsidRDefault="001577D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3CF7D5AB" w14:textId="77777777" w:rsidR="00D969FC" w:rsidRDefault="009A257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0ACCDB43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70046085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72F7BD95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2530F34B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61F248F4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</w:tcPr>
          <w:p w14:paraId="26E5A823" w14:textId="77777777" w:rsidR="00D969FC" w:rsidRDefault="00D969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A06606" w14:paraId="32D36554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</w:tcPr>
          <w:p w14:paraId="0B7BE8D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</w:tcPr>
          <w:p w14:paraId="2BA0BA9B" w14:textId="1F00D98B" w:rsidR="00A06606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Proteza naczyniowa prosta, zbrojona, wzmocniona dwuwarstwowa struktura ścian,</w:t>
            </w:r>
            <w:r w:rsidR="002321C0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proteza wykonana technologią </w:t>
            </w:r>
            <w:r w:rsidR="002871D1">
              <w:rPr>
                <w:rFonts w:ascii="Times New Roman" w:eastAsia="Arial Unicode MS" w:hAnsi="Times New Roman" w:cs="Times New Roman"/>
              </w:rPr>
              <w:t xml:space="preserve">kompleksowego wzmocnienia </w:t>
            </w:r>
            <w:r>
              <w:rPr>
                <w:rFonts w:ascii="Times New Roman" w:eastAsia="Arial Unicode MS" w:hAnsi="Times New Roman" w:cs="Times New Roman"/>
              </w:rPr>
              <w:t xml:space="preserve">celem zapewnienia optymalnej odporności radialnej na </w:t>
            </w: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zaginanie i zagniatanie oraz gojenia się po wewnętrznej stronie ściany zbudowana z rozciągliwego politetrafluoroetylenu (PTFE). Proteza o ścianie regularnej. </w:t>
            </w:r>
          </w:p>
          <w:p w14:paraId="502383C1" w14:textId="77777777" w:rsidR="00A06606" w:rsidRPr="00A06606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D826CD5" w14:textId="77777777" w:rsidR="00A06606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</w:rPr>
            </w:pPr>
            <w:r w:rsidRPr="009A257B">
              <w:rPr>
                <w:rFonts w:ascii="Times New Roman" w:eastAsia="Arial Unicode MS" w:hAnsi="Times New Roman" w:cs="Times New Roman"/>
                <w:b/>
              </w:rPr>
              <w:t>śre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dnica 6, 8mm, </w:t>
            </w:r>
          </w:p>
          <w:p w14:paraId="0F9632E6" w14:textId="77777777" w:rsidR="00A06606" w:rsidRDefault="00A06606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długość </w:t>
            </w:r>
            <w:r w:rsidRPr="009A257B">
              <w:rPr>
                <w:rFonts w:ascii="Times New Roman" w:eastAsia="Arial Unicode MS" w:hAnsi="Times New Roman" w:cs="Times New Roman"/>
                <w:b/>
              </w:rPr>
              <w:t>80cm.</w:t>
            </w: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14:paraId="102B5D6D" w14:textId="77777777" w:rsidR="00A06606" w:rsidRPr="00A06606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AABD717" w14:textId="77777777" w:rsidR="00A06606" w:rsidRPr="00A06606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5D678BE8" w14:textId="77777777" w:rsidR="00A06606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</w:rPr>
            </w:pPr>
            <w:r w:rsidRPr="009A257B">
              <w:rPr>
                <w:rFonts w:ascii="Times New Roman" w:eastAsia="Arial Unicode MS" w:hAnsi="Times New Roman" w:cs="Times New Roman"/>
                <w:b/>
              </w:rPr>
              <w:t xml:space="preserve">średnica 6, 8mm, </w:t>
            </w:r>
          </w:p>
          <w:p w14:paraId="0E492B8F" w14:textId="3AC7B577" w:rsidR="00A06606" w:rsidRPr="002040A1" w:rsidRDefault="00A06606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długość: 40;50;70</w:t>
            </w:r>
            <w:r w:rsidRPr="009A257B">
              <w:rPr>
                <w:rFonts w:ascii="Times New Roman" w:eastAsia="Arial Unicode MS" w:hAnsi="Times New Roman" w:cs="Times New Roman"/>
                <w:b/>
              </w:rPr>
              <w:t>cm.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2818D2EF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B60E753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74673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97687D0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3450ED4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B56B3CD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83CC90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EF9715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27E790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64B53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B48F0F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3C07C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CACB384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F47EE56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6FDAB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8E11F78" w14:textId="258F0E5E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1F812373" w14:textId="77777777" w:rsidR="00A06606" w:rsidRPr="00A06606" w:rsidRDefault="00A06606" w:rsidP="00A066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9B8FC" w14:textId="77777777" w:rsidR="00A06606" w:rsidRPr="00A06606" w:rsidRDefault="00A06606" w:rsidP="00A066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A7CF5" w14:textId="77777777" w:rsidR="00A06606" w:rsidRPr="00A06606" w:rsidRDefault="00A06606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87B94" w14:textId="77777777" w:rsidR="00A06606" w:rsidRDefault="00A06606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45499590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2FB8304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5DDF1C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E91BB35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7C7BE97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4E774A1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723329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216A3D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2F55E6F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A348B9D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CDCBDDB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81F1FBB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444E50D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F0461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B600A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B6C77C3" w14:textId="5AB7DDF8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3B3B61C3" w14:textId="77777777" w:rsidR="00A06606" w:rsidRP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23B4C" w14:textId="77777777" w:rsidR="00A06606" w:rsidRP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9BB0F" w14:textId="77777777" w:rsidR="00A06606" w:rsidRP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9A1061" w14:textId="77777777" w:rsidR="00A06606" w:rsidRDefault="00A06606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287342AA" w14:textId="77777777" w:rsidR="00A06606" w:rsidRPr="00066558" w:rsidRDefault="00A06606" w:rsidP="00D54E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68D13D09" w14:textId="77777777" w:rsidR="00A06606" w:rsidRPr="00066558" w:rsidRDefault="00A06606" w:rsidP="0093313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3E1F74D6" w14:textId="77777777" w:rsidR="00A06606" w:rsidRPr="00066558" w:rsidRDefault="00A06606" w:rsidP="003046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57D2052A" w14:textId="77777777" w:rsidR="00A06606" w:rsidRPr="00066558" w:rsidRDefault="00A06606" w:rsidP="00B94BF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2F1D0AC7" w14:textId="77777777" w:rsidR="00A06606" w:rsidRPr="00066558" w:rsidRDefault="00A06606" w:rsidP="002C2A6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</w:tcPr>
          <w:p w14:paraId="08334B10" w14:textId="77777777" w:rsidR="00A06606" w:rsidRPr="00066558" w:rsidRDefault="00A0660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D91577" w14:paraId="1556DE4A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</w:tcPr>
          <w:p w14:paraId="72E30A0D" w14:textId="77777777" w:rsidR="00D91577" w:rsidRPr="00066558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665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</w:tcPr>
          <w:p w14:paraId="0B0579F4" w14:textId="34049D9B" w:rsidR="00D91577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color w:val="auto"/>
              </w:rPr>
            </w:pPr>
            <w:r w:rsidRPr="00066558">
              <w:rPr>
                <w:rFonts w:ascii="Times New Roman" w:eastAsia="Arial Unicode MS" w:hAnsi="Times New Roman" w:cs="Times New Roman"/>
                <w:color w:val="auto"/>
              </w:rPr>
              <w:t>Proteza prosta, niezbrojona,</w:t>
            </w:r>
            <w:r w:rsidRPr="00066558">
              <w:rPr>
                <w:color w:val="auto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w</w:t>
            </w:r>
            <w:r w:rsidRPr="00066558">
              <w:rPr>
                <w:rFonts w:ascii="Times New Roman" w:eastAsia="Arial Unicode MS" w:hAnsi="Times New Roman" w:cs="Times New Roman"/>
                <w:color w:val="auto"/>
              </w:rPr>
              <w:t>zmocniona dwuwarstwowa struktura ściany, proteza wykonana techno</w:t>
            </w:r>
            <w:r w:rsidR="002871D1">
              <w:rPr>
                <w:rFonts w:ascii="Times New Roman" w:eastAsia="Arial Unicode MS" w:hAnsi="Times New Roman" w:cs="Times New Roman"/>
                <w:color w:val="auto"/>
              </w:rPr>
              <w:t xml:space="preserve">logią kompleksowego wzmocnienia </w:t>
            </w:r>
            <w:r w:rsidRPr="00066558">
              <w:rPr>
                <w:rFonts w:ascii="Times New Roman" w:eastAsia="Arial Unicode MS" w:hAnsi="Times New Roman" w:cs="Times New Roman"/>
                <w:color w:val="auto"/>
              </w:rPr>
              <w:t>celem zapewnienia opt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ymalnej odporności radialnej na </w:t>
            </w:r>
            <w:r w:rsidRPr="00066558">
              <w:rPr>
                <w:rFonts w:ascii="Times New Roman" w:eastAsia="Arial Unicode MS" w:hAnsi="Times New Roman" w:cs="Times New Roman"/>
                <w:color w:val="auto"/>
              </w:rPr>
              <w:t>zaginanie i zagniatanie oraz gojenia się po wewnętrznej stronie ściany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, jednowarstwowa, zbudowana z </w:t>
            </w:r>
            <w:r w:rsidRPr="00066558">
              <w:rPr>
                <w:rFonts w:ascii="Times New Roman" w:eastAsia="Arial Unicode MS" w:hAnsi="Times New Roman" w:cs="Times New Roman"/>
                <w:color w:val="auto"/>
              </w:rPr>
              <w:t>rozciągliwego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 xml:space="preserve"> politetrafluoroetylenu (PTFE). </w:t>
            </w:r>
          </w:p>
          <w:p w14:paraId="6C244866" w14:textId="77777777" w:rsidR="00D91577" w:rsidRPr="00D91577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</w:p>
          <w:p w14:paraId="46FA6B30" w14:textId="77777777" w:rsidR="00D91577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922F63">
              <w:rPr>
                <w:rFonts w:ascii="Times New Roman" w:eastAsia="Arial Unicode MS" w:hAnsi="Times New Roman" w:cs="Times New Roman"/>
                <w:b/>
                <w:color w:val="auto"/>
              </w:rPr>
              <w:t>Proteza o ścianie regularnej: d</w:t>
            </w:r>
            <w:r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ługość 10;20;30;40;50;70;80cm </w:t>
            </w:r>
            <w:r w:rsidRPr="00922F63"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średnice 4;5;6;7;8mm </w:t>
            </w:r>
          </w:p>
          <w:p w14:paraId="0FEEED47" w14:textId="77777777" w:rsidR="00D91577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922F63">
              <w:rPr>
                <w:rFonts w:ascii="Times New Roman" w:eastAsia="Arial Unicode MS" w:hAnsi="Times New Roman" w:cs="Times New Roman"/>
                <w:b/>
                <w:color w:val="auto"/>
              </w:rPr>
              <w:lastRenderedPageBreak/>
              <w:t xml:space="preserve">(w zależności od długości). </w:t>
            </w:r>
          </w:p>
          <w:p w14:paraId="5C11724A" w14:textId="77777777" w:rsidR="00D91577" w:rsidRPr="00D91577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</w:pPr>
          </w:p>
          <w:p w14:paraId="245A7540" w14:textId="77777777" w:rsidR="00D91577" w:rsidRPr="00D91577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</w:pPr>
          </w:p>
          <w:p w14:paraId="3D50CF19" w14:textId="77777777" w:rsidR="00D91577" w:rsidRPr="00922F63" w:rsidRDefault="00D91577" w:rsidP="00922F63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922F63">
              <w:rPr>
                <w:rFonts w:ascii="Times New Roman" w:eastAsia="Arial Unicode MS" w:hAnsi="Times New Roman" w:cs="Times New Roman"/>
                <w:b/>
                <w:color w:val="auto"/>
              </w:rPr>
              <w:t>Proteza o ścianie cienk</w:t>
            </w:r>
            <w:r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iej: długość 10;40;50;70;80cm </w:t>
            </w:r>
            <w:r w:rsidRPr="00922F63"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średnice 4;5;6;7;8mm </w:t>
            </w:r>
          </w:p>
          <w:p w14:paraId="6025CA6C" w14:textId="77777777" w:rsidR="00D91577" w:rsidRDefault="00D91577" w:rsidP="00922F63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922F63">
              <w:rPr>
                <w:rFonts w:ascii="Times New Roman" w:eastAsia="Arial Unicode MS" w:hAnsi="Times New Roman" w:cs="Times New Roman"/>
                <w:b/>
                <w:color w:val="auto"/>
              </w:rPr>
              <w:t>(w zależności od długości)</w:t>
            </w:r>
            <w:r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 </w:t>
            </w:r>
          </w:p>
          <w:p w14:paraId="24D370FF" w14:textId="77777777" w:rsidR="00D91577" w:rsidRPr="008C0831" w:rsidRDefault="00D91577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color w:val="auto"/>
              </w:rPr>
            </w:pP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5EA29F5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FC8532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32AEAFD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085D45D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0AF3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BE394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BA93B6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658499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40BECA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83022F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4F7A96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C2AB69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DAAFD4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CFE33F9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3C40290" w14:textId="39A57ECC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61A2F96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446828A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00AC2B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7DCFDD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402D14A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23AF7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90456B6" w14:textId="77777777" w:rsidR="005A0434" w:rsidRDefault="005A0434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31043AD" w14:textId="5F1CA575" w:rsidR="00D91577" w:rsidRDefault="00D91577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1201019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A6CB1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CAAF10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2AAD3FF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3E00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A05AF0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7187483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03A9EA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3E651E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5E1CD5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28F26B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CD4FD0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77BB8C6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4CA920C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C7872" w14:textId="667F82D2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1C557233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50ADEA1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D0B80A2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29EE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5A67B1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ECC777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BAA9D26" w14:textId="77777777" w:rsidR="005A0434" w:rsidRDefault="005A0434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5102230" w14:textId="2A51B572" w:rsidR="00D91577" w:rsidRDefault="00D91577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36FC8559" w14:textId="77777777" w:rsidR="00D91577" w:rsidRPr="001577DD" w:rsidRDefault="00D91577" w:rsidP="0055483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10946F1E" w14:textId="77777777" w:rsidR="00D91577" w:rsidRPr="001577DD" w:rsidRDefault="00D91577" w:rsidP="002F4C8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297785D3" w14:textId="77777777" w:rsidR="00D91577" w:rsidRPr="001577DD" w:rsidRDefault="00D91577" w:rsidP="008E3A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6955C4C5" w14:textId="77777777" w:rsidR="00D91577" w:rsidRPr="001577DD" w:rsidRDefault="00D91577" w:rsidP="00C9186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1A6AA098" w14:textId="77777777" w:rsidR="00D91577" w:rsidRPr="001577DD" w:rsidRDefault="00D91577" w:rsidP="00634E7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</w:tcPr>
          <w:p w14:paraId="079FB7B2" w14:textId="77777777" w:rsidR="00D91577" w:rsidRDefault="00D915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69FC" w14:paraId="4CB67E6F" w14:textId="77777777" w:rsidTr="002040A1">
        <w:tc>
          <w:tcPr>
            <w:tcW w:w="6901" w:type="dxa"/>
            <w:gridSpan w:val="5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409A8052" w14:textId="77777777" w:rsidR="00D969FC" w:rsidRDefault="001577D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02398F8D" w14:textId="77777777" w:rsidR="00D969FC" w:rsidRDefault="00D969FC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544CBD1" w14:textId="77777777" w:rsidR="00D969FC" w:rsidRDefault="001577DD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B4C0896" w14:textId="77777777" w:rsidR="00D969FC" w:rsidRDefault="001577DD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5EF25668" w14:textId="77777777" w:rsidR="00D969FC" w:rsidRDefault="00D969FC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1E9ADA0" w14:textId="77777777" w:rsidR="00D969FC" w:rsidRDefault="001577DD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101D41B8" w14:textId="269A85B3" w:rsidR="00D969FC" w:rsidRDefault="00D969FC" w:rsidP="008C0831">
      <w:pPr>
        <w:pStyle w:val="Standard"/>
      </w:pPr>
    </w:p>
    <w:p w14:paraId="0A069D28" w14:textId="175104C3" w:rsidR="002040A1" w:rsidRDefault="002040A1" w:rsidP="008C0831">
      <w:pPr>
        <w:pStyle w:val="Standard"/>
      </w:pPr>
    </w:p>
    <w:p w14:paraId="47C79C3A" w14:textId="77777777" w:rsidR="00EC4351" w:rsidRDefault="00EC4351" w:rsidP="00EC4351">
      <w:pPr>
        <w:pStyle w:val="Standard"/>
      </w:pPr>
      <w:r>
        <w:t>………………………, dnia ………….. r.</w:t>
      </w:r>
    </w:p>
    <w:p w14:paraId="4FC132B6" w14:textId="77777777" w:rsidR="00EC4351" w:rsidRDefault="00EC4351" w:rsidP="00EC4351">
      <w:pPr>
        <w:pStyle w:val="Standard"/>
      </w:pPr>
    </w:p>
    <w:p w14:paraId="41C3618F" w14:textId="77777777" w:rsidR="00EC4351" w:rsidRDefault="00EC4351" w:rsidP="00EC4351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F8284EF" w14:textId="77777777" w:rsidR="00EC4351" w:rsidRDefault="00EC4351" w:rsidP="00EC4351">
      <w:pPr>
        <w:ind w:left="7090" w:firstLine="8"/>
        <w:jc w:val="center"/>
        <w:rPr>
          <w:i/>
          <w:iCs/>
          <w:color w:val="000000"/>
          <w:sz w:val="16"/>
          <w:szCs w:val="16"/>
        </w:rPr>
      </w:pPr>
      <w:bookmarkStart w:id="0" w:name="_Hlk44588007"/>
      <w:r>
        <w:rPr>
          <w:i/>
          <w:iCs/>
          <w:color w:val="000000"/>
          <w:sz w:val="16"/>
          <w:szCs w:val="16"/>
        </w:rPr>
        <w:t xml:space="preserve">Imię i nazwisko osoby uprawionej do reprezentowania </w:t>
      </w:r>
    </w:p>
    <w:p w14:paraId="4D32CACC" w14:textId="77777777" w:rsidR="00EC4351" w:rsidRDefault="00EC4351" w:rsidP="00EC4351">
      <w:pPr>
        <w:ind w:left="7090" w:firstLine="8"/>
        <w:jc w:val="center"/>
      </w:pPr>
      <w:r>
        <w:rPr>
          <w:i/>
          <w:iCs/>
          <w:color w:val="000000"/>
          <w:sz w:val="16"/>
          <w:szCs w:val="16"/>
        </w:rPr>
        <w:t>Wykonawcy uwierzytelniającego oświadczenie kwalifikowanym</w:t>
      </w:r>
    </w:p>
    <w:p w14:paraId="309AC542" w14:textId="77777777" w:rsidR="00EC4351" w:rsidRPr="0028157A" w:rsidRDefault="00EC4351" w:rsidP="00EC4351">
      <w:pPr>
        <w:ind w:left="6521" w:firstLine="569"/>
        <w:jc w:val="center"/>
      </w:pPr>
      <w:r>
        <w:rPr>
          <w:i/>
          <w:iCs/>
          <w:color w:val="000000"/>
          <w:sz w:val="16"/>
          <w:szCs w:val="16"/>
        </w:rPr>
        <w:t>podpisem elektronicznym</w:t>
      </w:r>
      <w:bookmarkEnd w:id="0"/>
    </w:p>
    <w:p w14:paraId="3C8E43F4" w14:textId="77777777" w:rsidR="00EC4351" w:rsidRDefault="00EC4351" w:rsidP="00EC4351">
      <w:pPr>
        <w:pStyle w:val="Standard"/>
        <w:jc w:val="center"/>
        <w:rPr>
          <w:i/>
          <w:iCs/>
          <w:sz w:val="18"/>
          <w:szCs w:val="18"/>
        </w:rPr>
      </w:pPr>
    </w:p>
    <w:p w14:paraId="38D1AC5A" w14:textId="77777777" w:rsidR="00EC4351" w:rsidRPr="00243B67" w:rsidRDefault="00EC4351" w:rsidP="00EC4351">
      <w:pPr>
        <w:pStyle w:val="Standard"/>
        <w:jc w:val="center"/>
        <w:rPr>
          <w:i/>
          <w:iCs/>
          <w:sz w:val="18"/>
          <w:szCs w:val="18"/>
        </w:rPr>
      </w:pPr>
    </w:p>
    <w:p w14:paraId="7BE97F5A" w14:textId="77777777" w:rsidR="00EC4351" w:rsidRDefault="00EC4351" w:rsidP="008C0831">
      <w:pPr>
        <w:pStyle w:val="Standard"/>
      </w:pPr>
    </w:p>
    <w:sectPr w:rsidR="00EC4351">
      <w:pgSz w:w="16838" w:h="11906" w:orient="landscape"/>
      <w:pgMar w:top="1976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FC"/>
    <w:rsid w:val="000442C4"/>
    <w:rsid w:val="00066558"/>
    <w:rsid w:val="000B2DC9"/>
    <w:rsid w:val="001577DD"/>
    <w:rsid w:val="002040A1"/>
    <w:rsid w:val="002321C0"/>
    <w:rsid w:val="002871D1"/>
    <w:rsid w:val="003A6D24"/>
    <w:rsid w:val="003D0807"/>
    <w:rsid w:val="004E042D"/>
    <w:rsid w:val="00576B2D"/>
    <w:rsid w:val="005A0434"/>
    <w:rsid w:val="006C1976"/>
    <w:rsid w:val="007472AE"/>
    <w:rsid w:val="007B6EBD"/>
    <w:rsid w:val="007D5B0E"/>
    <w:rsid w:val="007E60ED"/>
    <w:rsid w:val="008C0831"/>
    <w:rsid w:val="00922F63"/>
    <w:rsid w:val="00946959"/>
    <w:rsid w:val="009A257B"/>
    <w:rsid w:val="009F6999"/>
    <w:rsid w:val="00A06606"/>
    <w:rsid w:val="00A82CDA"/>
    <w:rsid w:val="00BA5010"/>
    <w:rsid w:val="00D91577"/>
    <w:rsid w:val="00D969FC"/>
    <w:rsid w:val="00EB04A3"/>
    <w:rsid w:val="00EC435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0682"/>
  <w15:docId w15:val="{207D1258-5E01-4DC9-9961-CEA6C08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1E"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239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Domylnaczcionkaakapitu8">
    <w:name w:val="Domyślna czcionka akapitu8"/>
    <w:qFormat/>
  </w:style>
  <w:style w:type="character" w:customStyle="1" w:styleId="ListLabel1">
    <w:name w:val="ListLabel 1"/>
    <w:qFormat/>
    <w:rPr>
      <w:rFonts w:ascii="Times New Roman" w:eastAsia="OpenSymbol" w:hAnsi="Times New Roman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imes New Roman" w:eastAsia="OpenSymbol" w:hAnsi="Times New Roman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imes New Roman" w:eastAsia="OpenSymbol" w:hAnsi="Times New Roman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Times New Roman" w:eastAsia="OpenSymbol" w:hAnsi="Times New Roman" w:cs="OpenSymbol"/>
      <w:b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Times New Roman" w:eastAsia="OpenSymbol" w:hAnsi="Times New Roman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2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2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2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2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7">
    <w:name w:val="ListLabel 667"/>
    <w:qFormat/>
    <w:rPr>
      <w:rFonts w:ascii="Times New Roman" w:hAnsi="Times New Roman" w:cs="OpenSymbol"/>
      <w:sz w:val="22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2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OpenSymbol"/>
      <w:sz w:val="22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OpenSymbol"/>
      <w:sz w:val="22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1">
    <w:name w:val="ListLabel 631"/>
    <w:qFormat/>
    <w:rPr>
      <w:rFonts w:ascii="Times New Roman" w:hAnsi="Times New Roman" w:cs="OpenSymbol"/>
      <w:sz w:val="22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b/>
      <w:sz w:val="22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3">
    <w:name w:val="ListLabel 613"/>
    <w:qFormat/>
    <w:rPr>
      <w:rFonts w:ascii="Times New Roman" w:hAnsi="Times New Roman" w:cs="OpenSymbol"/>
      <w:sz w:val="22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4">
    <w:name w:val="ListLabel 604"/>
    <w:qFormat/>
    <w:rPr>
      <w:rFonts w:ascii="Times New Roman" w:hAnsi="Times New Roman" w:cs="OpenSymbol"/>
      <w:sz w:val="22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5">
    <w:name w:val="ListLabel 595"/>
    <w:qFormat/>
    <w:rPr>
      <w:rFonts w:ascii="Times New Roman" w:hAnsi="Times New Roman" w:cs="OpenSymbol"/>
      <w:sz w:val="22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2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7">
    <w:name w:val="ListLabel 577"/>
    <w:qFormat/>
    <w:rPr>
      <w:rFonts w:ascii="Times New Roman" w:hAnsi="Times New Roman" w:cs="OpenSymbol"/>
      <w:sz w:val="22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68">
    <w:name w:val="ListLabel 568"/>
    <w:qFormat/>
    <w:rPr>
      <w:rFonts w:ascii="Times New Roman" w:hAnsi="Times New Roman" w:cs="OpenSymbol"/>
      <w:b/>
      <w:sz w:val="22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59">
    <w:name w:val="ListLabel 559"/>
    <w:qFormat/>
    <w:rPr>
      <w:rFonts w:ascii="Times New Roman" w:hAnsi="Times New Roman" w:cs="OpenSymbol"/>
      <w:sz w:val="22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2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sz w:val="22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sz w:val="22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sz w:val="22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/>
      <w:sz w:val="22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sz w:val="22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sz w:val="22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sz w:val="22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sz w:val="22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2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/>
      <w:sz w:val="22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sz w:val="22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sz w:val="22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sz w:val="22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sz w:val="22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sz w:val="22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2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sz w:val="22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2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sz w:val="22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/>
      <w:sz w:val="22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sz w:val="22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sz w:val="22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sz w:val="22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sz w:val="22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/>
      <w:sz w:val="22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sz w:val="22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2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2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2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/>
      <w:sz w:val="22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2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02F5"/>
    <w:rPr>
      <w:color w:val="00000A"/>
      <w:sz w:val="24"/>
      <w:szCs w:val="21"/>
    </w:rPr>
  </w:style>
  <w:style w:type="character" w:customStyle="1" w:styleId="ListLabel703">
    <w:name w:val="ListLabel 703"/>
    <w:qFormat/>
    <w:rPr>
      <w:b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12391E"/>
    <w:pPr>
      <w:spacing w:after="140" w:line="288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41">
    <w:name w:val="Nagłówek 41"/>
    <w:basedOn w:val="Nagwek"/>
    <w:qFormat/>
    <w:rsid w:val="0012391E"/>
    <w:pPr>
      <w:keepNext/>
      <w:widowControl w:val="0"/>
      <w:outlineLvl w:val="3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Nagwek61">
    <w:name w:val="Nagłówek 61"/>
    <w:basedOn w:val="Nagwek"/>
    <w:qFormat/>
    <w:rsid w:val="0012391E"/>
    <w:pPr>
      <w:keepNext/>
      <w:widowControl w:val="0"/>
      <w:jc w:val="center"/>
      <w:outlineLvl w:val="5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Standard">
    <w:name w:val="Standard"/>
    <w:qFormat/>
    <w:rsid w:val="0012391E"/>
    <w:pPr>
      <w:suppressAutoHyphens/>
      <w:textAlignment w:val="baseline"/>
    </w:pPr>
    <w:rPr>
      <w:color w:val="00000A"/>
      <w:sz w:val="24"/>
    </w:r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textAlignment w:val="baseline"/>
    </w:pPr>
    <w:rPr>
      <w:rFonts w:asciiTheme="minorHAnsi" w:eastAsiaTheme="minorHAnsi" w:hAnsiTheme="minorHAnsi" w:cs="Calibri"/>
      <w:color w:val="00000A"/>
      <w:sz w:val="24"/>
      <w:szCs w:val="22"/>
      <w:lang w:eastAsia="pl-PL" w:bidi="ar-SA"/>
    </w:rPr>
  </w:style>
  <w:style w:type="paragraph" w:customStyle="1" w:styleId="Listapunktowana21">
    <w:name w:val="Lista punktowana 21"/>
    <w:basedOn w:val="Standard"/>
    <w:qFormat/>
    <w:pPr>
      <w:suppressAutoHyphens w:val="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C802F5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59"/>
    <w:rsid w:val="001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46F6-9B51-4861-B9B5-A8331D59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Arek</dc:creator>
  <dc:description/>
  <cp:lastModifiedBy>Zamówienia Publiczne</cp:lastModifiedBy>
  <cp:revision>11</cp:revision>
  <dcterms:created xsi:type="dcterms:W3CDTF">2020-07-02T10:04:00Z</dcterms:created>
  <dcterms:modified xsi:type="dcterms:W3CDTF">2020-07-09T07:49:00Z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